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Times" w:hAnsi="黑体" w:eastAsia="黑体"/>
          <w:color w:val="auto"/>
          <w:sz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03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color w:val="auto"/>
          <w:sz w:val="44"/>
          <w:szCs w:val="44"/>
          <w:highlight w:val="none"/>
        </w:rPr>
      </w:pPr>
      <w:r>
        <w:rPr>
          <w:rFonts w:hint="eastAsia" w:eastAsia="方正小标宋简体"/>
          <w:color w:val="auto"/>
          <w:sz w:val="44"/>
          <w:szCs w:val="44"/>
          <w:highlight w:val="none"/>
        </w:rPr>
        <w:t>城发汇金•望郡项目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9</w:t>
      </w:r>
      <w:r>
        <w:rPr>
          <w:rFonts w:hint="eastAsia" w:eastAsia="方正小标宋简体"/>
          <w:color w:val="auto"/>
          <w:sz w:val="44"/>
          <w:szCs w:val="44"/>
          <w:highlight w:val="none"/>
        </w:rPr>
        <w:t>号楼高层次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eastAsia="方正小标宋简体"/>
          <w:color w:val="auto"/>
          <w:sz w:val="44"/>
          <w:szCs w:val="44"/>
          <w:highlight w:val="none"/>
        </w:rPr>
        <w:t>人才房</w:t>
      </w:r>
      <w:r>
        <w:rPr>
          <w:rFonts w:eastAsia="方正小标宋简体"/>
          <w:color w:val="auto"/>
          <w:sz w:val="44"/>
          <w:szCs w:val="44"/>
          <w:highlight w:val="none"/>
        </w:rPr>
        <w:t>配售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三方协议</w:t>
      </w:r>
    </w:p>
    <w:p>
      <w:pPr>
        <w:adjustRightInd w:val="0"/>
        <w:snapToGrid w:val="0"/>
        <w:spacing w:line="600" w:lineRule="exact"/>
        <w:ind w:firstLine="707" w:firstLineChars="221"/>
        <w:jc w:val="both"/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620" w:lineRule="exact"/>
        <w:ind w:firstLine="710" w:firstLineChars="221"/>
        <w:jc w:val="both"/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  <w:u w:val="single"/>
        </w:rPr>
      </w:pPr>
      <w:r>
        <w:rPr>
          <w:rFonts w:hint="eastAsia" w:ascii="Calibri" w:hAnsi="Calibri" w:eastAsia="仿宋_GB2312" w:cs="Times New Roman"/>
          <w:b/>
          <w:bCs/>
          <w:kern w:val="0"/>
          <w:sz w:val="32"/>
          <w:szCs w:val="32"/>
          <w:highlight w:val="none"/>
        </w:rPr>
        <w:t>甲方：</w:t>
      </w:r>
      <w:r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龙岩人才发展集团有限公司                 </w:t>
      </w:r>
    </w:p>
    <w:p>
      <w:pPr>
        <w:adjustRightInd w:val="0"/>
        <w:snapToGrid w:val="0"/>
        <w:spacing w:line="620" w:lineRule="exact"/>
        <w:ind w:firstLine="707" w:firstLineChars="221"/>
        <w:jc w:val="both"/>
        <w:rPr>
          <w:rFonts w:hint="eastAsia" w:ascii="Calibri" w:hAnsi="Calibri" w:eastAsia="仿宋_GB2312" w:cs="Times New Roman"/>
          <w:w w:val="80"/>
          <w:kern w:val="0"/>
          <w:sz w:val="32"/>
          <w:szCs w:val="32"/>
          <w:highlight w:val="none"/>
          <w:u w:val="single"/>
        </w:rPr>
      </w:pPr>
      <w:r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</w:rPr>
        <w:t>住所</w:t>
      </w:r>
      <w:r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Calibri" w:hAnsi="Calibri" w:eastAsia="仿宋_GB2312" w:cs="Times New Roman"/>
          <w:w w:val="78"/>
          <w:kern w:val="0"/>
          <w:sz w:val="32"/>
          <w:szCs w:val="32"/>
          <w:highlight w:val="none"/>
          <w:u w:val="single"/>
        </w:rPr>
        <w:t>福建省龙岩市新罗区西陂街道龙岩大道</w:t>
      </w:r>
      <w:r>
        <w:rPr>
          <w:rFonts w:hint="default" w:ascii="Times New Roman" w:hAnsi="Times New Roman" w:eastAsia="仿宋_GB2312" w:cs="Times New Roman"/>
          <w:w w:val="78"/>
          <w:kern w:val="0"/>
          <w:sz w:val="32"/>
          <w:szCs w:val="32"/>
          <w:highlight w:val="none"/>
          <w:u w:val="single"/>
        </w:rPr>
        <w:t>298</w:t>
      </w:r>
      <w:r>
        <w:rPr>
          <w:rFonts w:hint="eastAsia" w:ascii="Calibri" w:hAnsi="Calibri" w:eastAsia="仿宋_GB2312" w:cs="Times New Roman"/>
          <w:w w:val="78"/>
          <w:kern w:val="0"/>
          <w:sz w:val="32"/>
          <w:szCs w:val="32"/>
          <w:highlight w:val="none"/>
          <w:u w:val="single"/>
        </w:rPr>
        <w:t>号兴业大厦</w:t>
      </w:r>
      <w:r>
        <w:rPr>
          <w:rFonts w:hint="default" w:ascii="Times New Roman" w:hAnsi="Times New Roman" w:eastAsia="仿宋_GB2312" w:cs="Times New Roman"/>
          <w:w w:val="78"/>
          <w:kern w:val="0"/>
          <w:sz w:val="32"/>
          <w:szCs w:val="32"/>
          <w:highlight w:val="none"/>
          <w:u w:val="single"/>
        </w:rPr>
        <w:t>13</w:t>
      </w:r>
      <w:r>
        <w:rPr>
          <w:rFonts w:hint="eastAsia" w:ascii="Calibri" w:hAnsi="Calibri" w:eastAsia="仿宋_GB2312" w:cs="Times New Roman"/>
          <w:w w:val="78"/>
          <w:kern w:val="0"/>
          <w:sz w:val="32"/>
          <w:szCs w:val="32"/>
          <w:highlight w:val="none"/>
          <w:u w:val="single"/>
        </w:rPr>
        <w:t>楼</w:t>
      </w:r>
    </w:p>
    <w:p>
      <w:pPr>
        <w:adjustRightInd w:val="0"/>
        <w:snapToGrid w:val="0"/>
        <w:spacing w:line="620" w:lineRule="exact"/>
        <w:ind w:firstLine="707" w:firstLineChars="221"/>
        <w:jc w:val="both"/>
        <w:rPr>
          <w:rFonts w:ascii="Calibri" w:hAnsi="Calibri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</w:rPr>
        <w:t>统一社会信用代码：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>91350800MA2XUGFY1U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</w:p>
    <w:p>
      <w:pPr>
        <w:adjustRightInd w:val="0"/>
        <w:snapToGrid w:val="0"/>
        <w:spacing w:line="620" w:lineRule="exact"/>
        <w:ind w:firstLine="707" w:firstLineChars="221"/>
        <w:jc w:val="both"/>
        <w:rPr>
          <w:rFonts w:ascii="Calibri" w:hAnsi="Calibri" w:eastAsia="仿宋_GB2312" w:cs="Times New Roman"/>
          <w:kern w:val="0"/>
          <w:sz w:val="32"/>
          <w:szCs w:val="32"/>
          <w:highlight w:val="none"/>
          <w:u w:val="single"/>
        </w:rPr>
      </w:pPr>
      <w:r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</w:rPr>
        <w:t>法定代表人：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邓以昌      </w:t>
      </w:r>
      <w:r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  <w:lang w:val="en-US" w:eastAsia="zh-CN"/>
        </w:rPr>
        <w:t xml:space="preserve"> 职务：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总经理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jc w:val="both"/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Calibri" w:hAnsi="Calibri" w:eastAsia="仿宋_GB2312" w:cs="Times New Roman"/>
          <w:kern w:val="0"/>
          <w:sz w:val="32"/>
          <w:szCs w:val="32"/>
          <w:highlight w:val="none"/>
        </w:rPr>
        <w:t>联系人：</w:t>
      </w:r>
      <w:r>
        <w:rPr>
          <w:rFonts w:hint="eastAsia" w:ascii="Calibri" w:hAnsi="Calibri" w:eastAsia="仿宋_GB2312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       </w:t>
      </w:r>
      <w:r>
        <w:rPr>
          <w:rFonts w:hint="eastAsia" w:ascii="Calibri" w:hAnsi="Calibri" w:eastAsia="仿宋_GB2312"/>
          <w:sz w:val="32"/>
          <w:szCs w:val="32"/>
          <w:highlight w:val="none"/>
          <w:u w:val="none"/>
          <w:lang w:val="en-US" w:eastAsia="zh-CN"/>
        </w:rPr>
        <w:t xml:space="preserve">                                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rPr>
          <w:rFonts w:hint="eastAsia" w:ascii="Calibri" w:hAnsi="Calibri" w:eastAsia="仿宋_GB2312"/>
          <w:sz w:val="32"/>
          <w:szCs w:val="32"/>
          <w:highlight w:val="none"/>
        </w:rPr>
      </w:pPr>
      <w:r>
        <w:rPr>
          <w:rFonts w:hint="eastAsia" w:ascii="Calibri" w:hAnsi="Calibri" w:eastAsia="仿宋_GB2312"/>
          <w:sz w:val="32"/>
          <w:szCs w:val="32"/>
          <w:highlight w:val="none"/>
        </w:rPr>
        <w:t>联系方式：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10" w:firstLineChars="221"/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Calibri" w:hAnsi="Calibri" w:eastAsia="仿宋_GB2312"/>
          <w:b/>
          <w:bCs/>
          <w:sz w:val="32"/>
          <w:szCs w:val="32"/>
          <w:highlight w:val="none"/>
        </w:rPr>
        <w:t>乙方：</w:t>
      </w:r>
      <w:r>
        <w:rPr>
          <w:rFonts w:hint="eastAsia" w:ascii="Calibri" w:hAnsi="Calibri" w:eastAsia="仿宋_GB2312"/>
          <w:sz w:val="32"/>
          <w:szCs w:val="32"/>
          <w:highlight w:val="none"/>
        </w:rPr>
        <w:t>（人才）</w:t>
      </w: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姓名：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 xml:space="preserve">   性别：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 xml:space="preserve">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民族：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 xml:space="preserve">  出生日期：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 xml:space="preserve">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rPr>
          <w:rFonts w:hint="default" w:ascii="Calibri" w:hAnsi="Calibri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住址：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    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公民身份号码：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rPr>
          <w:rFonts w:hint="default" w:ascii="Calibri" w:hAnsi="Calibri" w:eastAsia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联系方式：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10" w:firstLineChars="221"/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Calibri" w:hAnsi="Calibri" w:eastAsia="仿宋_GB2312"/>
          <w:b/>
          <w:bCs/>
          <w:sz w:val="32"/>
          <w:szCs w:val="32"/>
          <w:highlight w:val="none"/>
        </w:rPr>
        <w:t>丙方：</w:t>
      </w:r>
      <w:r>
        <w:rPr>
          <w:rFonts w:hint="eastAsia" w:ascii="Calibri" w:hAnsi="Calibri" w:eastAsia="仿宋_GB2312"/>
          <w:sz w:val="32"/>
          <w:szCs w:val="32"/>
          <w:highlight w:val="none"/>
        </w:rPr>
        <w:t>（用人单位）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rPr>
          <w:rFonts w:hint="default" w:ascii="Calibri" w:hAnsi="Calibri" w:eastAsia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住所地：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  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rPr>
          <w:rFonts w:hint="default" w:ascii="Calibri" w:hAnsi="Calibri" w:eastAsia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统一社会信用代码：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rPr>
          <w:rFonts w:hint="default" w:ascii="Calibri" w:hAnsi="Calibri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法定代表人：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 xml:space="preserve">  职务：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rPr>
          <w:rFonts w:hint="default" w:ascii="Calibri" w:hAnsi="Calibri" w:eastAsia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联系人：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     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707" w:firstLineChars="221"/>
        <w:rPr>
          <w:rFonts w:hint="default" w:ascii="Calibri" w:hAnsi="Calibri" w:eastAsia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联系方式：</w:t>
      </w:r>
      <w:r>
        <w:rPr>
          <w:rFonts w:hint="eastAsia" w:ascii="Calibri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outlineLvl w:val="9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根据《龙岩市人才住房保障暂行办法》</w:t>
      </w:r>
      <w:r>
        <w:rPr>
          <w:rFonts w:eastAsia="仿宋_GB2312"/>
          <w:color w:val="auto"/>
          <w:sz w:val="32"/>
          <w:szCs w:val="32"/>
          <w:highlight w:val="none"/>
        </w:rPr>
        <w:t>（龙政综〔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2020</w:t>
      </w:r>
      <w:r>
        <w:rPr>
          <w:rFonts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13</w:t>
      </w:r>
      <w:r>
        <w:rPr>
          <w:rFonts w:eastAsia="仿宋_GB2312"/>
          <w:color w:val="auto"/>
          <w:sz w:val="32"/>
          <w:szCs w:val="32"/>
          <w:highlight w:val="none"/>
        </w:rPr>
        <w:t>号）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Calibri" w:hAnsi="Calibri" w:eastAsia="仿宋_GB2312"/>
          <w:color w:val="auto"/>
          <w:sz w:val="32"/>
          <w:szCs w:val="32"/>
          <w:highlight w:val="none"/>
        </w:rPr>
        <w:t>城发汇金•望郡项目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9</w:t>
      </w:r>
      <w:r>
        <w:rPr>
          <w:rFonts w:hint="eastAsia" w:ascii="Calibri" w:hAnsi="Calibri" w:eastAsia="仿宋_GB2312"/>
          <w:color w:val="auto"/>
          <w:sz w:val="32"/>
          <w:szCs w:val="32"/>
          <w:highlight w:val="none"/>
        </w:rPr>
        <w:t>号楼高层次人才房的配售方案</w:t>
      </w:r>
      <w:r>
        <w:rPr>
          <w:rFonts w:hint="eastAsia" w:ascii="Calibri" w:hAnsi="Calibri" w:eastAsia="仿宋_GB2312"/>
          <w:sz w:val="32"/>
          <w:szCs w:val="32"/>
          <w:highlight w:val="none"/>
          <w:lang w:val="en-US" w:eastAsia="zh-CN"/>
        </w:rPr>
        <w:t>》，甲、</w:t>
      </w:r>
      <w:r>
        <w:rPr>
          <w:rFonts w:hint="eastAsia" w:ascii="Calibri" w:hAnsi="Calibri" w:eastAsia="仿宋_GB2312"/>
          <w:sz w:val="32"/>
          <w:szCs w:val="32"/>
          <w:highlight w:val="none"/>
        </w:rPr>
        <w:t>乙、丙三方本着自愿、公平、诚实信用的原则，经</w:t>
      </w:r>
      <w:r>
        <w:rPr>
          <w:rFonts w:ascii="Times New Roman" w:hAnsi="Times New Roman" w:eastAsia="仿宋_GB2312"/>
          <w:sz w:val="32"/>
          <w:szCs w:val="32"/>
          <w:highlight w:val="none"/>
        </w:rPr>
        <w:t>协商达成如下协议：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一、甲方的权利和义务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负责将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</w:rPr>
        <w:t>城发汇金•望郡项目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9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</w:rPr>
        <w:t>号楼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人才房配售给乙方。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.联合丙方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定期检查乙方在岗工作情况。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.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人才在我市工作未满7年，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甲方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乙方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实际工作年限折算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收回乙方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相应配售补助资金，所购房产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且须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甲方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按市场评估价格的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95%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进行回购。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二、乙方的权利和义务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  <w:highlight w:val="none"/>
        </w:rPr>
        <w:t>乙方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向丙方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提交真实有效的人才房配售申请材料</w:t>
      </w:r>
      <w:r>
        <w:rPr>
          <w:rFonts w:hint="default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  <w:highlight w:val="none"/>
        </w:rPr>
        <w:t>人才房配售的产权和房屋使用权归乙方个人所有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人才在我市工作满7年，所购房产可上市交易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乙方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在岩工作未满7年，须根据实际工作年限按比例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退回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配售补助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资金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乙方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所购房产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且须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由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甲方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按市场评估价格的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95%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进行回购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因公死亡的除外。</w:t>
      </w:r>
    </w:p>
    <w:p>
      <w:pPr>
        <w:pStyle w:val="3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4.乙方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在岩工作未满7年的，期间</w:t>
      </w:r>
      <w:r>
        <w:rPr>
          <w:rFonts w:ascii="Times New Roman" w:hAnsi="Times New Roman" w:eastAsia="仿宋_GB2312"/>
          <w:sz w:val="32"/>
          <w:szCs w:val="32"/>
          <w:highlight w:val="none"/>
        </w:rPr>
        <w:t>离职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应</w:t>
      </w:r>
      <w:r>
        <w:rPr>
          <w:rFonts w:ascii="Times New Roman" w:hAnsi="Times New Roman" w:eastAsia="仿宋_GB2312"/>
          <w:sz w:val="32"/>
          <w:szCs w:val="32"/>
          <w:highlight w:val="none"/>
        </w:rPr>
        <w:t>提前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single"/>
          <w:lang w:eastAsia="zh-CN"/>
        </w:rPr>
        <w:t>三十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single"/>
        </w:rPr>
        <w:t>天</w:t>
      </w:r>
      <w:r>
        <w:rPr>
          <w:rFonts w:ascii="Times New Roman" w:hAnsi="Times New Roman" w:eastAsia="仿宋_GB2312"/>
          <w:sz w:val="32"/>
          <w:szCs w:val="32"/>
          <w:highlight w:val="none"/>
        </w:rPr>
        <w:t>以书面形式通知甲方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，因乙方未及时通知甲方并造成甲方损失的，甲方将提请有关部门依法追究乙方法律责任。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三、丙方的权利和义务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丙方应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核实并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提交真实有效的人才房配售申请材料。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乙方在岩在岗情况有变动时，丙方应提前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single"/>
          <w:lang w:eastAsia="zh-CN"/>
        </w:rPr>
        <w:t>三十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日书面通知甲方。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若乙方在岩工作未满7年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且丙方已提前书面通知乙方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退回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配售补助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资金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的，由丙方负责向乙方追回乙方应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退回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配售补助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资金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返还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甲方。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若乙方在岩工作未满7年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且丙方未提前书面通知乙方的，由丙方将乙方应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退回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配售补助资金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返还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甲方。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协助甲方做好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对乙方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在岗在位情况的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监督管理工作。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高层次人才配售补助标准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高层次人才配售补助标准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按照人才层次进行分类，具体标准如下：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以下四项根据不同类人才在不同合同中分别选用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】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一类人才：人才房配售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补助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万元；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二类人才：人才房配售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补助</w:t>
      </w:r>
      <w:r>
        <w:rPr>
          <w:rFonts w:ascii="Times New Roman" w:hAnsi="Times New Roman" w:eastAsia="仿宋_GB2312"/>
          <w:sz w:val="32"/>
          <w:szCs w:val="32"/>
          <w:highlight w:val="none"/>
        </w:rPr>
        <w:t>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万元；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三类人才：人才房配售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补助</w:t>
      </w:r>
      <w:r>
        <w:rPr>
          <w:rFonts w:ascii="Times New Roman" w:hAnsi="Times New Roman" w:eastAsia="仿宋_GB2312"/>
          <w:sz w:val="32"/>
          <w:szCs w:val="32"/>
          <w:highlight w:val="none"/>
        </w:rPr>
        <w:t>40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万元；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四类人才：人才房配售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补助</w:t>
      </w:r>
      <w:r>
        <w:rPr>
          <w:rFonts w:ascii="Times New Roman" w:hAnsi="Times New Roman" w:eastAsia="仿宋_GB2312"/>
          <w:sz w:val="32"/>
          <w:szCs w:val="32"/>
          <w:highlight w:val="none"/>
        </w:rPr>
        <w:t>25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上述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配售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助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兑现时，应扣除乙方已享受的市、县（市、区）人才补助，按照“就高从优不重复”原则实施。乙方在享受住房保障政策期间发生人才层次升级的，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在扣除已享受人才补助的基础上，后按新标准申请追加人才补助，并予以发放。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3" w:firstLineChars="200"/>
        <w:rPr>
          <w:rFonts w:hint="default" w:ascii="Times New Roman" w:hAnsi="Times New Roman" w:eastAsia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lang w:val="en-US" w:eastAsia="zh-CN"/>
        </w:rPr>
        <w:t>乙方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lang w:val="en-US" w:eastAsia="zh-CN"/>
        </w:rPr>
        <w:t>，人才类别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u w:val="none"/>
          <w:lang w:val="en-US" w:eastAsia="zh-CN"/>
        </w:rPr>
        <w:t>，已享受人才补助金额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u w:val="none"/>
          <w:lang w:val="en-US" w:eastAsia="zh-CN"/>
        </w:rPr>
        <w:t>，本次</w:t>
      </w:r>
      <w:r>
        <w:rPr>
          <w:rFonts w:hint="default" w:ascii="Times New Roman" w:hAnsi="Times New Roman" w:eastAsia="仿宋_GB2312"/>
          <w:b/>
          <w:bCs/>
          <w:color w:val="auto"/>
          <w:sz w:val="32"/>
          <w:szCs w:val="32"/>
          <w:highlight w:val="none"/>
        </w:rPr>
        <w:t>城发汇金•望郡项目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</w:rPr>
        <w:t>9</w:t>
      </w:r>
      <w:r>
        <w:rPr>
          <w:rFonts w:hint="default" w:ascii="Times New Roman" w:hAnsi="Times New Roman" w:eastAsia="仿宋_GB2312"/>
          <w:b/>
          <w:bCs/>
          <w:color w:val="auto"/>
          <w:sz w:val="32"/>
          <w:szCs w:val="32"/>
          <w:highlight w:val="none"/>
        </w:rPr>
        <w:t>号楼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</w:rPr>
        <w:t>人才房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u w:val="none"/>
          <w:lang w:val="en-US" w:eastAsia="zh-CN"/>
        </w:rPr>
        <w:t>实际享受的配售补助金额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u w:val="none"/>
          <w:lang w:val="en-US" w:eastAsia="zh-CN"/>
        </w:rPr>
        <w:t xml:space="preserve">万元。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五、违约责任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乙方在岩工作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未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满7年的，应根据实际工作年限按比例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退回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配售补助资金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乙方在岩工作未满7年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且丙方未提前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single"/>
          <w:lang w:eastAsia="zh-CN"/>
        </w:rPr>
        <w:t>三十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日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书面通知甲方的，由丙方将乙方应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退回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配售补助资金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返还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甲方。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3.退回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配售补助资金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方式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：人才层次对应的人才房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配售补助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7×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（7年－在岩工作年限）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当年工作时间少于6个月的不享受当年配售补助资金（一类人才可适当放宽时间要求）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如发现乙方或丙方弄虚作假骗取人才房配售有关规定情形的，由丙方负责追回已发放的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配售补助资金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并退回甲方。情节严重的，甲方有权提请有关部门依法追究法律责任。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六、争议解决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本合同如有未尽事宜，或执行过程中产生争议，甲、乙、丙三方应友好协商，以公平、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公正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的方法解决。如协商不成，可向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single"/>
        </w:rPr>
        <w:t>协议签订地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人民法院起诉。败诉方承担包括但不限于诉讼费、交通费、保全费、律师代理费等相关费用。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本合同任何一方就本合同给相对方的任何通知，均应按本合同顶部所记载的地址以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single"/>
        </w:rPr>
        <w:t>书面方式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通知对方，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single"/>
        </w:rPr>
        <w:t>付邮之日起第三日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即视为已送达对方。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本合同一经生效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任何一方不得随意变更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经三方就变更内容达成书面协议的除外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七、其他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本协议一式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份，甲、乙、丙三方各执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贰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份，自三方签字盖章之日起生效。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2.本协议作为人才房配售购房合同的有效组成部分，与人才房购房合同一并提交市住建局、市不动产登记中心备案。</w:t>
      </w:r>
    </w:p>
    <w:p>
      <w:pPr>
        <w:pStyle w:val="3"/>
        <w:widowControl/>
        <w:shd w:val="clear" w:color="auto" w:fill="FFFFFF"/>
        <w:spacing w:before="0" w:beforeAutospacing="0" w:after="0" w:afterAutospacing="0" w:line="1000" w:lineRule="exact"/>
        <w:rPr>
          <w:rFonts w:ascii="楷体_GB2312" w:hAnsi="楷体_GB2312" w:eastAsia="楷体_GB2312" w:cs="楷体_GB2312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sz w:val="28"/>
          <w:szCs w:val="28"/>
          <w:highlight w:val="none"/>
        </w:rPr>
        <w:t>甲方（盖章）          乙方（盖章）          丙方（盖章）</w:t>
      </w:r>
    </w:p>
    <w:p>
      <w:pPr>
        <w:pStyle w:val="3"/>
        <w:widowControl/>
        <w:shd w:val="clear" w:color="auto" w:fill="FFFFFF"/>
        <w:spacing w:before="0" w:beforeAutospacing="0" w:after="0" w:afterAutospacing="0" w:line="1000" w:lineRule="exact"/>
        <w:rPr>
          <w:rFonts w:ascii="楷体_GB2312" w:hAnsi="楷体_GB2312" w:eastAsia="楷体_GB2312" w:cs="楷体_GB2312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sz w:val="28"/>
          <w:szCs w:val="28"/>
          <w:highlight w:val="none"/>
        </w:rPr>
        <w:t>代表：                代表：                代表：</w:t>
      </w:r>
    </w:p>
    <w:p>
      <w:pPr>
        <w:pStyle w:val="3"/>
        <w:widowControl/>
        <w:shd w:val="clear" w:color="auto" w:fill="FFFFFF"/>
        <w:spacing w:before="0" w:beforeAutospacing="0" w:after="0" w:afterAutospacing="0" w:line="1000" w:lineRule="exact"/>
        <w:rPr>
          <w:rFonts w:ascii="楷体_GB2312" w:hAnsi="楷体_GB2312" w:eastAsia="楷体_GB2312" w:cs="楷体_GB2312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sz w:val="28"/>
          <w:szCs w:val="28"/>
          <w:highlight w:val="none"/>
        </w:rPr>
        <w:t>电话：                电话：                电话：</w:t>
      </w:r>
    </w:p>
    <w:p>
      <w:pPr>
        <w:pStyle w:val="3"/>
        <w:widowControl/>
        <w:shd w:val="clear" w:color="auto" w:fill="FFFFFF"/>
        <w:spacing w:before="0" w:beforeAutospacing="0" w:after="0" w:afterAutospacing="0" w:line="1000" w:lineRule="exact"/>
        <w:jc w:val="center"/>
        <w:rPr>
          <w:rFonts w:ascii="楷体_GB2312" w:hAnsi="楷体_GB2312" w:eastAsia="楷体_GB2312" w:cs="楷体_GB2312"/>
          <w:sz w:val="28"/>
          <w:szCs w:val="28"/>
          <w:highlight w:val="none"/>
          <w:u w:val="single"/>
        </w:rPr>
      </w:pPr>
      <w:r>
        <w:rPr>
          <w:rFonts w:hint="eastAsia" w:ascii="楷体_GB2312" w:hAnsi="楷体_GB2312" w:eastAsia="楷体_GB2312" w:cs="楷体_GB2312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</w:rPr>
        <w:t>协议签订地：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  <w:u w:val="single"/>
        </w:rPr>
        <w:t>福建省龙岩市新罗区</w:t>
      </w:r>
    </w:p>
    <w:p>
      <w:pPr>
        <w:pStyle w:val="3"/>
        <w:widowControl/>
        <w:shd w:val="clear" w:color="auto" w:fill="FFFFFF"/>
        <w:spacing w:before="0" w:beforeAutospacing="0" w:after="0" w:afterAutospacing="0" w:line="1000" w:lineRule="exact"/>
        <w:jc w:val="center"/>
        <w:rPr>
          <w:rFonts w:ascii="楷体_GB2312" w:hAnsi="楷体_GB2312" w:eastAsia="楷体_GB2312" w:cs="楷体_GB2312"/>
          <w:sz w:val="28"/>
          <w:szCs w:val="28"/>
          <w:highlight w:val="none"/>
          <w:u w:val="single"/>
        </w:rPr>
      </w:pPr>
      <w:r>
        <w:rPr>
          <w:rFonts w:hint="eastAsia" w:ascii="楷体_GB2312" w:hAnsi="楷体_GB2312" w:eastAsia="楷体_GB2312" w:cs="楷体_GB2312"/>
          <w:sz w:val="28"/>
          <w:szCs w:val="28"/>
          <w:highlight w:val="none"/>
          <w:u w:val="none"/>
          <w:lang w:val="en-US" w:eastAsia="zh-CN"/>
        </w:rPr>
        <w:t xml:space="preserve">                   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  <w:u w:val="none"/>
        </w:rPr>
        <w:t>协议签订时间：</w:t>
      </w:r>
      <w:r>
        <w:rPr>
          <w:rFonts w:ascii="楷体_GB2312" w:hAnsi="楷体_GB2312" w:eastAsia="楷体_GB2312" w:cs="楷体_GB2312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  <w:u w:val="single"/>
        </w:rPr>
        <w:t xml:space="preserve"> </w:t>
      </w:r>
      <w:r>
        <w:rPr>
          <w:rFonts w:ascii="楷体_GB2312" w:hAnsi="楷体_GB2312" w:eastAsia="楷体_GB2312" w:cs="楷体_GB2312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  <w:u w:val="none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  <w:u w:val="single"/>
        </w:rPr>
        <w:t xml:space="preserve"> </w:t>
      </w:r>
      <w:r>
        <w:rPr>
          <w:rFonts w:ascii="楷体_GB2312" w:hAnsi="楷体_GB2312" w:eastAsia="楷体_GB2312" w:cs="楷体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  <w:u w:val="none"/>
        </w:rPr>
        <w:t>日</w:t>
      </w:r>
    </w:p>
    <w:p>
      <w:pPr>
        <w:adjustRightInd w:val="0"/>
        <w:spacing w:line="400" w:lineRule="exact"/>
        <w:jc w:val="center"/>
        <w:rPr>
          <w:rFonts w:hint="eastAsia" w:ascii="黑体" w:hAnsi="Times" w:eastAsia="黑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highlight w:val="none"/>
        </w:rPr>
        <w:t>（以下空白）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D67CE"/>
    <w:rsid w:val="009E5459"/>
    <w:rsid w:val="71A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2021-02-10T08:57:00Z</dcterms:created>
  <dc:creator>小棉媛</dc:creator>
  <cp:lastModifiedBy>小棉媛</cp:lastModifiedBy>
  <dcterms:modified xsi:type="dcterms:W3CDTF">2021-02-10T08:58:27Z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