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b/>
          <w:sz w:val="28"/>
        </w:rPr>
      </w:pPr>
      <w:r>
        <w:rPr>
          <w:rFonts w:hint="eastAsia"/>
          <w:b/>
          <w:sz w:val="28"/>
        </w:rPr>
        <w:t>采购编码：</w:t>
      </w:r>
      <w:r>
        <w:rPr>
          <w:b/>
          <w:sz w:val="28"/>
        </w:rPr>
        <w:t>LYSC-CG2022071</w:t>
      </w:r>
      <w:r>
        <w:rPr>
          <w:rFonts w:hint="eastAsia"/>
          <w:b/>
          <w:sz w:val="28"/>
        </w:rPr>
        <w:t>9</w:t>
      </w:r>
    </w:p>
    <w:p>
      <w:pPr>
        <w:spacing w:line="520" w:lineRule="exact"/>
        <w:rPr>
          <w:b/>
          <w:sz w:val="28"/>
        </w:rPr>
      </w:pPr>
      <w:r>
        <w:rPr>
          <w:rFonts w:hint="eastAsia"/>
          <w:b/>
          <w:sz w:val="28"/>
        </w:rPr>
        <w:t>附件一：</w:t>
      </w:r>
      <w:r>
        <w:rPr>
          <w:b/>
          <w:sz w:val="28"/>
        </w:rPr>
        <w:t>资产管理系统</w:t>
      </w:r>
      <w:r>
        <w:rPr>
          <w:rFonts w:hint="eastAsia"/>
          <w:b/>
          <w:sz w:val="28"/>
        </w:rPr>
        <w:t>开发服务内容</w:t>
      </w:r>
    </w:p>
    <w:p>
      <w:pPr>
        <w:spacing w:line="520" w:lineRule="exact"/>
        <w:rPr>
          <w:sz w:val="28"/>
        </w:rPr>
      </w:pPr>
      <w:r>
        <w:rPr>
          <w:rFonts w:hint="eastAsia"/>
          <w:b/>
          <w:sz w:val="28"/>
        </w:rPr>
        <w:t>1：</w:t>
      </w:r>
      <w:r>
        <w:rPr>
          <w:b/>
          <w:sz w:val="28"/>
        </w:rPr>
        <w:t>资产管理系统技术参数</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jc w:val="center"/>
              <w:rPr>
                <w:b/>
                <w:bCs/>
                <w:sz w:val="21"/>
                <w:szCs w:val="21"/>
              </w:rPr>
            </w:pPr>
            <w:r>
              <w:rPr>
                <w:rFonts w:hint="eastAsia"/>
                <w:b/>
                <w:bCs/>
                <w:sz w:val="21"/>
                <w:szCs w:val="21"/>
              </w:rPr>
              <w:t>序号</w:t>
            </w:r>
          </w:p>
        </w:tc>
        <w:tc>
          <w:tcPr>
            <w:tcW w:w="1656" w:type="dxa"/>
          </w:tcPr>
          <w:p>
            <w:pPr>
              <w:jc w:val="center"/>
              <w:rPr>
                <w:b/>
                <w:bCs/>
                <w:sz w:val="21"/>
                <w:szCs w:val="21"/>
              </w:rPr>
            </w:pPr>
            <w:r>
              <w:rPr>
                <w:rFonts w:hint="eastAsia"/>
                <w:b/>
                <w:bCs/>
                <w:sz w:val="21"/>
                <w:szCs w:val="21"/>
              </w:rPr>
              <w:t>项目名称</w:t>
            </w:r>
          </w:p>
        </w:tc>
        <w:tc>
          <w:tcPr>
            <w:tcW w:w="5944" w:type="dxa"/>
          </w:tcPr>
          <w:p>
            <w:pPr>
              <w:jc w:val="center"/>
              <w:rPr>
                <w:b/>
                <w:bCs/>
                <w:sz w:val="21"/>
                <w:szCs w:val="21"/>
              </w:rPr>
            </w:pPr>
            <w:r>
              <w:rPr>
                <w:rFonts w:hint="eastAsia"/>
                <w:b/>
                <w:bCs/>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jc w:val="center"/>
              <w:rPr>
                <w:sz w:val="21"/>
                <w:szCs w:val="21"/>
              </w:rPr>
            </w:pPr>
            <w:r>
              <w:rPr>
                <w:rFonts w:hint="eastAsia"/>
                <w:sz w:val="21"/>
                <w:szCs w:val="21"/>
              </w:rPr>
              <w:t>1</w:t>
            </w:r>
          </w:p>
        </w:tc>
        <w:tc>
          <w:tcPr>
            <w:tcW w:w="1656" w:type="dxa"/>
          </w:tcPr>
          <w:p>
            <w:pPr>
              <w:rPr>
                <w:sz w:val="21"/>
                <w:szCs w:val="21"/>
              </w:rPr>
            </w:pPr>
            <w:r>
              <w:rPr>
                <w:rFonts w:hint="eastAsia"/>
                <w:sz w:val="21"/>
                <w:szCs w:val="21"/>
              </w:rPr>
              <w:t>数据库升级</w:t>
            </w:r>
          </w:p>
        </w:tc>
        <w:tc>
          <w:tcPr>
            <w:tcW w:w="5944" w:type="dxa"/>
          </w:tcPr>
          <w:p>
            <w:pPr>
              <w:numPr>
                <w:ilvl w:val="0"/>
                <w:numId w:val="1"/>
              </w:numPr>
              <w:rPr>
                <w:rFonts w:ascii="等线" w:cs="等线"/>
                <w:sz w:val="21"/>
                <w:szCs w:val="21"/>
              </w:rPr>
            </w:pPr>
            <w:r>
              <w:rPr>
                <w:rFonts w:hint="eastAsia" w:ascii="等线" w:cs="等线"/>
                <w:sz w:val="21"/>
                <w:szCs w:val="21"/>
              </w:rPr>
              <w:t>使用mysql数据库替换原有的sqlserver数据库，并进行数据迁移；</w:t>
            </w:r>
          </w:p>
          <w:p>
            <w:pPr>
              <w:numPr>
                <w:ilvl w:val="0"/>
                <w:numId w:val="1"/>
              </w:numPr>
              <w:rPr>
                <w:rFonts w:ascii="等线" w:cs="等线"/>
                <w:sz w:val="21"/>
                <w:szCs w:val="21"/>
              </w:rPr>
            </w:pPr>
            <w:r>
              <w:rPr>
                <w:rFonts w:hint="eastAsia" w:ascii="等线" w:cs="等线"/>
                <w:sz w:val="21"/>
                <w:szCs w:val="21"/>
              </w:rPr>
              <w:t>数据结构优化，将原本一张表保存所有业务数据形式改为多表关联的形式，让关键数据可配置、好应用、易提取；</w:t>
            </w:r>
          </w:p>
          <w:p>
            <w:pPr>
              <w:numPr>
                <w:ilvl w:val="0"/>
                <w:numId w:val="1"/>
              </w:numPr>
              <w:rPr>
                <w:rFonts w:ascii="等线" w:cs="等线"/>
                <w:sz w:val="21"/>
                <w:szCs w:val="21"/>
              </w:rPr>
            </w:pPr>
            <w:r>
              <w:rPr>
                <w:rFonts w:hint="eastAsia" w:ascii="等线" w:cs="等线"/>
                <w:bCs/>
                <w:sz w:val="21"/>
                <w:szCs w:val="21"/>
              </w:rPr>
              <w:t>数据处理优化，通过广泛的索引、缓存机制、分批处理、建立临时表和中间表和数据查询优化，完成对数据处理的优化；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jc w:val="center"/>
              <w:rPr>
                <w:sz w:val="21"/>
                <w:szCs w:val="21"/>
              </w:rPr>
            </w:pPr>
            <w:r>
              <w:rPr>
                <w:rFonts w:hint="eastAsia"/>
                <w:sz w:val="21"/>
                <w:szCs w:val="21"/>
              </w:rPr>
              <w:t>2</w:t>
            </w:r>
          </w:p>
        </w:tc>
        <w:tc>
          <w:tcPr>
            <w:tcW w:w="1656" w:type="dxa"/>
          </w:tcPr>
          <w:p>
            <w:pPr>
              <w:rPr>
                <w:sz w:val="21"/>
                <w:szCs w:val="21"/>
              </w:rPr>
            </w:pPr>
            <w:r>
              <w:rPr>
                <w:rFonts w:hint="eastAsia"/>
                <w:sz w:val="21"/>
                <w:szCs w:val="21"/>
              </w:rPr>
              <w:t>底层架构升级</w:t>
            </w:r>
          </w:p>
        </w:tc>
        <w:tc>
          <w:tcPr>
            <w:tcW w:w="5944" w:type="dxa"/>
          </w:tcPr>
          <w:p>
            <w:pPr>
              <w:rPr>
                <w:sz w:val="21"/>
                <w:szCs w:val="21"/>
              </w:rPr>
            </w:pPr>
            <w:r>
              <w:rPr>
                <w:rFonts w:hint="eastAsia" w:ascii="宋体" w:hAnsi="宋体" w:cs="宋体"/>
                <w:sz w:val="21"/>
                <w:szCs w:val="21"/>
              </w:rPr>
              <w:t>▲1、升级后的系统</w:t>
            </w:r>
            <w:r>
              <w:rPr>
                <w:rFonts w:hint="eastAsia"/>
                <w:sz w:val="21"/>
                <w:szCs w:val="21"/>
              </w:rPr>
              <w:t>基于B/S架构，平台采用前后端分离框架，前端框架采用页面无刷新技术，系统需使用Java语言，融合市场主流Bootstrap、easyui、vue.js、layui等技术，实现前端扩展性强，兼容性强，方便二次开发。（中标</w:t>
            </w:r>
            <w:r>
              <w:rPr>
                <w:sz w:val="21"/>
                <w:szCs w:val="21"/>
              </w:rPr>
              <w:t>供应商于中标后</w:t>
            </w:r>
            <w:r>
              <w:rPr>
                <w:rFonts w:hint="eastAsia"/>
                <w:sz w:val="21"/>
                <w:szCs w:val="21"/>
              </w:rPr>
              <w:t>提供框架应用截图佐证和由具有检验检测机构资质的第三方机构出具的有效检验检测报告复印件佐证，检测报告上须体现“CMA” 标志）</w:t>
            </w:r>
          </w:p>
          <w:p>
            <w:pPr>
              <w:numPr>
                <w:ilvl w:val="0"/>
                <w:numId w:val="2"/>
              </w:numPr>
              <w:rPr>
                <w:sz w:val="21"/>
                <w:szCs w:val="21"/>
              </w:rPr>
            </w:pPr>
            <w:r>
              <w:rPr>
                <w:rFonts w:hint="eastAsia"/>
                <w:sz w:val="21"/>
                <w:szCs w:val="21"/>
              </w:rPr>
              <w:t>采用面向对象的技术，面向对象建模方法反应客观事物的本质特性，有利于反复迭代，有利于复用。在分析设计中，采用U</w:t>
            </w:r>
            <w:r>
              <w:rPr>
                <w:sz w:val="21"/>
                <w:szCs w:val="21"/>
              </w:rPr>
              <w:t>ML</w:t>
            </w:r>
            <w:r>
              <w:rPr>
                <w:rFonts w:hint="eastAsia"/>
                <w:sz w:val="21"/>
                <w:szCs w:val="21"/>
              </w:rPr>
              <w:t>面向对象建模语言进行系统建模，以用例驱动、以体系结构为中心、以迭代和增量方式进行系统开发；</w:t>
            </w:r>
          </w:p>
          <w:p>
            <w:pPr>
              <w:rPr>
                <w:sz w:val="21"/>
                <w:szCs w:val="21"/>
              </w:rPr>
            </w:pPr>
            <w:r>
              <w:rPr>
                <w:rFonts w:hint="eastAsia" w:ascii="宋体" w:hAnsi="宋体" w:cs="宋体"/>
                <w:sz w:val="21"/>
                <w:szCs w:val="21"/>
              </w:rPr>
              <w:t>▲</w:t>
            </w:r>
            <w:r>
              <w:rPr>
                <w:rFonts w:hint="eastAsia"/>
                <w:sz w:val="21"/>
                <w:szCs w:val="21"/>
              </w:rPr>
              <w:t>3、支持元数据级别的webservice接口配置及数据获取授权管理，实现可视化应用接口管理；（中标</w:t>
            </w:r>
            <w:r>
              <w:rPr>
                <w:sz w:val="21"/>
                <w:szCs w:val="21"/>
              </w:rPr>
              <w:t>供应商于中标后</w:t>
            </w:r>
            <w:r>
              <w:rPr>
                <w:rFonts w:hint="eastAsia"/>
                <w:sz w:val="21"/>
                <w:szCs w:val="21"/>
              </w:rPr>
              <w:t>能提供框架应用截图佐证和由具有检验检测机构资质的第三方机构出具的有效检验检测报告复印件佐证，检测报告上须体现“CMA” 标志）</w:t>
            </w:r>
          </w:p>
          <w:p>
            <w:pPr>
              <w:rPr>
                <w:sz w:val="21"/>
                <w:szCs w:val="21"/>
              </w:rPr>
            </w:pPr>
            <w:r>
              <w:rPr>
                <w:rFonts w:hint="eastAsia" w:ascii="宋体" w:hAnsi="宋体" w:cs="宋体"/>
                <w:sz w:val="21"/>
                <w:szCs w:val="21"/>
              </w:rPr>
              <w:t>▲</w:t>
            </w:r>
            <w:r>
              <w:rPr>
                <w:rFonts w:hint="eastAsia"/>
                <w:sz w:val="21"/>
                <w:szCs w:val="21"/>
              </w:rPr>
              <w:t>4、可实现多平台（包括Linux、Unix、Windows及主流国产操作系统）一键部署（中标</w:t>
            </w:r>
            <w:r>
              <w:rPr>
                <w:sz w:val="21"/>
                <w:szCs w:val="21"/>
              </w:rPr>
              <w:t>供应商于中标后</w:t>
            </w:r>
            <w:r>
              <w:rPr>
                <w:rFonts w:hint="eastAsia"/>
                <w:sz w:val="21"/>
                <w:szCs w:val="21"/>
              </w:rPr>
              <w:t>能提供框架应用截图佐证和由具有检验检测机构资质的第三方机构出具的有效检验检测报告复印件佐证，检测报告上须体现“CMA”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jc w:val="center"/>
              <w:rPr>
                <w:sz w:val="21"/>
                <w:szCs w:val="21"/>
              </w:rPr>
            </w:pPr>
            <w:r>
              <w:rPr>
                <w:rFonts w:hint="eastAsia"/>
                <w:sz w:val="21"/>
                <w:szCs w:val="21"/>
              </w:rPr>
              <w:t>3</w:t>
            </w:r>
          </w:p>
        </w:tc>
        <w:tc>
          <w:tcPr>
            <w:tcW w:w="1656" w:type="dxa"/>
          </w:tcPr>
          <w:p>
            <w:pPr>
              <w:rPr>
                <w:sz w:val="21"/>
                <w:szCs w:val="21"/>
              </w:rPr>
            </w:pPr>
            <w:r>
              <w:rPr>
                <w:rFonts w:hint="eastAsia"/>
                <w:sz w:val="21"/>
                <w:szCs w:val="21"/>
              </w:rPr>
              <w:t>系统设置模块升级</w:t>
            </w:r>
          </w:p>
        </w:tc>
        <w:tc>
          <w:tcPr>
            <w:tcW w:w="5944" w:type="dxa"/>
          </w:tcPr>
          <w:p>
            <w:pPr>
              <w:numPr>
                <w:ilvl w:val="0"/>
                <w:numId w:val="3"/>
              </w:numPr>
              <w:rPr>
                <w:rFonts w:ascii="等线" w:cs="等线"/>
                <w:sz w:val="21"/>
                <w:szCs w:val="21"/>
              </w:rPr>
            </w:pPr>
            <w:r>
              <w:rPr>
                <w:rFonts w:hint="eastAsia" w:ascii="等线" w:cs="等线"/>
                <w:sz w:val="21"/>
                <w:szCs w:val="21"/>
              </w:rPr>
              <w:t>升级用户及权限管理模块，满足微平台用户管理及权限配置包括微信用户查询，绑定合同查询，用户状态修改，绑定手机号修改等；</w:t>
            </w:r>
          </w:p>
          <w:p>
            <w:pPr>
              <w:numPr>
                <w:ilvl w:val="0"/>
                <w:numId w:val="3"/>
              </w:numPr>
              <w:rPr>
                <w:rFonts w:ascii="等线" w:cs="等线"/>
                <w:sz w:val="21"/>
                <w:szCs w:val="21"/>
              </w:rPr>
            </w:pPr>
            <w:r>
              <w:rPr>
                <w:rFonts w:hint="eastAsia" w:ascii="等线" w:cs="等线"/>
                <w:sz w:val="21"/>
                <w:szCs w:val="21"/>
              </w:rPr>
              <w:t>产权人设置：包含产权人的添加、修改、删除等功能，能够管理产权人基本信息，用于系统配置及调用；</w:t>
            </w:r>
          </w:p>
          <w:p>
            <w:pPr>
              <w:numPr>
                <w:ilvl w:val="0"/>
                <w:numId w:val="3"/>
              </w:numPr>
              <w:rPr>
                <w:rFonts w:ascii="等线" w:cs="等线"/>
                <w:sz w:val="21"/>
                <w:szCs w:val="21"/>
              </w:rPr>
            </w:pPr>
            <w:r>
              <w:rPr>
                <w:rFonts w:hint="eastAsia" w:ascii="等线" w:cs="等线"/>
                <w:sz w:val="21"/>
                <w:szCs w:val="21"/>
              </w:rPr>
              <w:t>房产类型管理：包含房产类型添加、修改、删除等功能，能够管理房产类型信息，用于系统配置及调用；</w:t>
            </w:r>
          </w:p>
          <w:p>
            <w:pPr>
              <w:numPr>
                <w:ilvl w:val="0"/>
                <w:numId w:val="3"/>
              </w:numPr>
              <w:rPr>
                <w:rFonts w:ascii="等线" w:cs="等线"/>
                <w:sz w:val="21"/>
                <w:szCs w:val="21"/>
              </w:rPr>
            </w:pPr>
            <w:r>
              <w:rPr>
                <w:rFonts w:hint="eastAsia" w:ascii="等线" w:cs="等线"/>
                <w:sz w:val="21"/>
                <w:szCs w:val="21"/>
              </w:rPr>
              <w:t>产权证管理：统一管理产权证书文件，并以列表的形式进行呈现；</w:t>
            </w:r>
          </w:p>
          <w:p>
            <w:pPr>
              <w:rPr>
                <w:rFonts w:ascii="等线" w:cs="等线"/>
                <w:sz w:val="21"/>
                <w:szCs w:val="21"/>
              </w:rPr>
            </w:pPr>
            <w:r>
              <w:rPr>
                <w:rFonts w:hint="eastAsia" w:ascii="等线" w:cs="等线"/>
                <w:sz w:val="21"/>
                <w:szCs w:val="21"/>
              </w:rPr>
              <w:t>▲5、软件平台系统底层开发框架权限管理要求：支持功能权限按钮粒度级别，并通过数据权限进行灵活数据过滤。（</w:t>
            </w:r>
            <w:r>
              <w:rPr>
                <w:rFonts w:hint="eastAsia"/>
                <w:sz w:val="21"/>
                <w:szCs w:val="21"/>
              </w:rPr>
              <w:t>中标</w:t>
            </w:r>
            <w:r>
              <w:rPr>
                <w:sz w:val="21"/>
                <w:szCs w:val="21"/>
              </w:rPr>
              <w:t>供应商于中标后</w:t>
            </w:r>
            <w:r>
              <w:rPr>
                <w:rFonts w:hint="eastAsia" w:ascii="等线" w:cs="等线"/>
                <w:sz w:val="21"/>
                <w:szCs w:val="21"/>
              </w:rPr>
              <w:t>能提供框架应用截图佐证和由具有检验检测机构资质的第三方机构出具的有效检验检测报告复印件佐证，检测报告上须体现“CMA” 标志）</w:t>
            </w:r>
          </w:p>
          <w:p>
            <w:pPr>
              <w:rPr>
                <w:rFonts w:ascii="等线" w:cs="等线"/>
                <w:sz w:val="21"/>
                <w:szCs w:val="21"/>
              </w:rPr>
            </w:pPr>
            <w:r>
              <w:rPr>
                <w:rFonts w:hint="eastAsia" w:ascii="等线" w:cs="等线"/>
                <w:sz w:val="21"/>
                <w:szCs w:val="21"/>
              </w:rPr>
              <w:t>▲6、软件平台系统底层开发框架数据备份要求：实现数据库备份的自动化、任务化、可视化，支持后台数据库备份计划配置、任务查看及备份下载；（</w:t>
            </w:r>
            <w:r>
              <w:rPr>
                <w:rFonts w:hint="eastAsia"/>
                <w:sz w:val="21"/>
                <w:szCs w:val="21"/>
              </w:rPr>
              <w:t>中标</w:t>
            </w:r>
            <w:r>
              <w:rPr>
                <w:sz w:val="21"/>
                <w:szCs w:val="21"/>
              </w:rPr>
              <w:t>供应商于中标后</w:t>
            </w:r>
            <w:r>
              <w:rPr>
                <w:rFonts w:hint="eastAsia" w:ascii="等线" w:cs="等线"/>
                <w:sz w:val="21"/>
                <w:szCs w:val="21"/>
              </w:rPr>
              <w:t>能提供框架应用截图佐证和由具有检验检测机构资质的第三方机构出具的有效检验检测报告复印件佐证，检测报告上须体现“CMA”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jc w:val="center"/>
              <w:rPr>
                <w:sz w:val="21"/>
                <w:szCs w:val="21"/>
              </w:rPr>
            </w:pPr>
            <w:r>
              <w:rPr>
                <w:rFonts w:hint="eastAsia"/>
                <w:sz w:val="21"/>
                <w:szCs w:val="21"/>
              </w:rPr>
              <w:t>4</w:t>
            </w:r>
          </w:p>
        </w:tc>
        <w:tc>
          <w:tcPr>
            <w:tcW w:w="1656" w:type="dxa"/>
          </w:tcPr>
          <w:p>
            <w:pPr>
              <w:rPr>
                <w:sz w:val="21"/>
                <w:szCs w:val="21"/>
              </w:rPr>
            </w:pPr>
            <w:r>
              <w:rPr>
                <w:rFonts w:hint="eastAsia"/>
                <w:sz w:val="21"/>
                <w:szCs w:val="21"/>
              </w:rPr>
              <w:t>日志管理模块升级</w:t>
            </w:r>
          </w:p>
        </w:tc>
        <w:tc>
          <w:tcPr>
            <w:tcW w:w="5944" w:type="dxa"/>
          </w:tcPr>
          <w:p>
            <w:pPr>
              <w:rPr>
                <w:rFonts w:ascii="等线" w:cs="等线"/>
                <w:b w:val="0"/>
                <w:bCs w:val="0"/>
                <w:sz w:val="21"/>
                <w:szCs w:val="21"/>
              </w:rPr>
            </w:pPr>
            <w:r>
              <w:rPr>
                <w:rFonts w:hint="eastAsia" w:ascii="等线" w:cs="等线"/>
                <w:sz w:val="21"/>
                <w:szCs w:val="21"/>
              </w:rPr>
              <w:t>1、应用日志管理系统，对系统日志进行统一管</w:t>
            </w:r>
            <w:r>
              <w:rPr>
                <w:rFonts w:hint="eastAsia" w:ascii="等线" w:cs="等线"/>
                <w:b w:val="0"/>
                <w:bCs w:val="0"/>
                <w:sz w:val="21"/>
                <w:szCs w:val="21"/>
              </w:rPr>
              <w:t>理。软件厂商自主取得新技术组件相关软件著作权，并</w:t>
            </w:r>
            <w:r>
              <w:rPr>
                <w:b w:val="0"/>
                <w:bCs w:val="0"/>
                <w:sz w:val="21"/>
                <w:szCs w:val="21"/>
              </w:rPr>
              <w:t>于中标后</w:t>
            </w:r>
            <w:r>
              <w:rPr>
                <w:rFonts w:hint="eastAsia" w:ascii="等线" w:cs="等线"/>
                <w:b w:val="0"/>
                <w:bCs w:val="0"/>
                <w:sz w:val="21"/>
                <w:szCs w:val="21"/>
              </w:rPr>
              <w:t>提供复印件；</w:t>
            </w:r>
          </w:p>
          <w:p>
            <w:pPr>
              <w:rPr>
                <w:rFonts w:ascii="等线" w:cs="等线"/>
                <w:b w:val="0"/>
                <w:bCs w:val="0"/>
                <w:sz w:val="21"/>
                <w:szCs w:val="21"/>
              </w:rPr>
            </w:pPr>
            <w:r>
              <w:rPr>
                <w:rFonts w:hint="eastAsia" w:ascii="等线" w:cs="等线"/>
                <w:b w:val="0"/>
                <w:bCs w:val="0"/>
                <w:sz w:val="21"/>
                <w:szCs w:val="21"/>
              </w:rPr>
              <w:t>2、增加</w:t>
            </w:r>
            <w:r>
              <w:rPr>
                <w:rFonts w:hint="eastAsia"/>
                <w:b w:val="0"/>
                <w:bCs w:val="0"/>
                <w:sz w:val="21"/>
                <w:szCs w:val="21"/>
              </w:rPr>
              <w:t>操作日志，</w:t>
            </w:r>
            <w:r>
              <w:rPr>
                <w:rFonts w:hint="eastAsia" w:ascii="等线" w:cs="等线"/>
                <w:b w:val="0"/>
                <w:bCs w:val="0"/>
                <w:sz w:val="21"/>
                <w:szCs w:val="21"/>
              </w:rPr>
              <w:t>自动记录用户操作信息；</w:t>
            </w:r>
          </w:p>
          <w:p>
            <w:pPr>
              <w:rPr>
                <w:rFonts w:ascii="等线" w:cs="等线"/>
                <w:sz w:val="21"/>
                <w:szCs w:val="21"/>
              </w:rPr>
            </w:pPr>
            <w:r>
              <w:rPr>
                <w:rFonts w:hint="eastAsia" w:ascii="等线" w:cs="等线"/>
                <w:sz w:val="21"/>
                <w:szCs w:val="21"/>
              </w:rPr>
              <w:t>3、增加系统登录日志，自动记录平台用户登录信息；</w:t>
            </w:r>
          </w:p>
          <w:p>
            <w:pPr>
              <w:rPr>
                <w:rFonts w:ascii="等线" w:cs="等线"/>
                <w:sz w:val="21"/>
                <w:szCs w:val="21"/>
              </w:rPr>
            </w:pPr>
            <w:r>
              <w:rPr>
                <w:rFonts w:hint="eastAsia" w:ascii="等线" w:cs="等线"/>
                <w:sz w:val="21"/>
                <w:szCs w:val="21"/>
              </w:rPr>
              <w:t>4、增加资产信息变动日志，自动记录资产信息变动情况；</w:t>
            </w:r>
          </w:p>
          <w:p>
            <w:pPr>
              <w:rPr>
                <w:rFonts w:ascii="等线" w:cs="等线"/>
                <w:sz w:val="21"/>
                <w:szCs w:val="21"/>
              </w:rPr>
            </w:pPr>
            <w:r>
              <w:rPr>
                <w:rFonts w:hint="eastAsia" w:ascii="等线" w:cs="等线"/>
                <w:sz w:val="21"/>
                <w:szCs w:val="21"/>
              </w:rPr>
              <w:t>5、增加合同信息变动日志，自动记录合同信息变动情况；</w:t>
            </w:r>
          </w:p>
          <w:p>
            <w:pPr>
              <w:rPr>
                <w:rFonts w:ascii="等线" w:cs="等线"/>
                <w:sz w:val="21"/>
                <w:szCs w:val="21"/>
              </w:rPr>
            </w:pPr>
            <w:r>
              <w:rPr>
                <w:rFonts w:hint="eastAsia" w:ascii="等线" w:cs="等线"/>
                <w:sz w:val="21"/>
                <w:szCs w:val="21"/>
              </w:rPr>
              <w:t>6、增加账单信息修改日志，自动记录账单信息变动情况；</w:t>
            </w:r>
          </w:p>
          <w:p>
            <w:pPr>
              <w:rPr>
                <w:rFonts w:ascii="等线" w:cs="等线"/>
                <w:sz w:val="21"/>
                <w:szCs w:val="21"/>
              </w:rPr>
            </w:pPr>
            <w:r>
              <w:rPr>
                <w:rFonts w:hint="eastAsia" w:ascii="等线" w:cs="等线"/>
                <w:sz w:val="21"/>
                <w:szCs w:val="21"/>
              </w:rPr>
              <w:t>7、增加系统错误日志，自动记录系统错误信息。</w:t>
            </w:r>
          </w:p>
          <w:p>
            <w:pPr>
              <w:rPr>
                <w:rFonts w:ascii="等线" w:cs="等线"/>
                <w:sz w:val="21"/>
                <w:szCs w:val="21"/>
              </w:rPr>
            </w:pPr>
            <w:r>
              <w:rPr>
                <w:rFonts w:hint="eastAsia" w:ascii="等线" w:cs="等线"/>
                <w:sz w:val="21"/>
                <w:szCs w:val="21"/>
              </w:rPr>
              <w:t>8、提供日志条件查询功能。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jc w:val="center"/>
              <w:rPr>
                <w:sz w:val="21"/>
                <w:szCs w:val="21"/>
              </w:rPr>
            </w:pPr>
            <w:r>
              <w:rPr>
                <w:rFonts w:hint="eastAsia"/>
                <w:sz w:val="21"/>
                <w:szCs w:val="21"/>
              </w:rPr>
              <w:t>5</w:t>
            </w:r>
          </w:p>
        </w:tc>
        <w:tc>
          <w:tcPr>
            <w:tcW w:w="1656" w:type="dxa"/>
          </w:tcPr>
          <w:p>
            <w:pPr>
              <w:rPr>
                <w:sz w:val="21"/>
                <w:szCs w:val="21"/>
              </w:rPr>
            </w:pPr>
            <w:r>
              <w:rPr>
                <w:rFonts w:hint="eastAsia"/>
                <w:sz w:val="21"/>
                <w:szCs w:val="21"/>
              </w:rPr>
              <w:t>资产管理模块升级</w:t>
            </w:r>
          </w:p>
        </w:tc>
        <w:tc>
          <w:tcPr>
            <w:tcW w:w="5944" w:type="dxa"/>
          </w:tcPr>
          <w:p>
            <w:pPr>
              <w:numPr>
                <w:ilvl w:val="0"/>
                <w:numId w:val="4"/>
              </w:numPr>
              <w:rPr>
                <w:b w:val="0"/>
                <w:bCs w:val="0"/>
                <w:sz w:val="21"/>
                <w:szCs w:val="21"/>
              </w:rPr>
            </w:pPr>
            <w:r>
              <w:rPr>
                <w:rFonts w:hint="eastAsia" w:ascii="等线" w:cs="等线"/>
                <w:sz w:val="21"/>
                <w:szCs w:val="21"/>
              </w:rPr>
              <w:t>应用资产管理系统，对资产进行统筹管理，并生成资产清单列表。</w:t>
            </w:r>
            <w:r>
              <w:rPr>
                <w:rFonts w:hint="eastAsia" w:ascii="等线" w:cs="等线"/>
                <w:b w:val="0"/>
                <w:bCs w:val="0"/>
                <w:sz w:val="21"/>
                <w:szCs w:val="21"/>
              </w:rPr>
              <w:t>软件厂商自主取得新技术组件相关软件著作权，并</w:t>
            </w:r>
            <w:r>
              <w:rPr>
                <w:b w:val="0"/>
                <w:bCs w:val="0"/>
                <w:sz w:val="21"/>
                <w:szCs w:val="21"/>
              </w:rPr>
              <w:t>于中标后</w:t>
            </w:r>
            <w:r>
              <w:rPr>
                <w:rFonts w:hint="eastAsia" w:ascii="等线" w:cs="等线"/>
                <w:b w:val="0"/>
                <w:bCs w:val="0"/>
                <w:sz w:val="21"/>
                <w:szCs w:val="21"/>
              </w:rPr>
              <w:t>提供复印件；</w:t>
            </w:r>
          </w:p>
          <w:p>
            <w:pPr>
              <w:numPr>
                <w:ilvl w:val="0"/>
                <w:numId w:val="4"/>
              </w:numPr>
              <w:rPr>
                <w:rFonts w:ascii="等线" w:cs="等线"/>
                <w:sz w:val="21"/>
                <w:szCs w:val="21"/>
              </w:rPr>
            </w:pPr>
            <w:r>
              <w:rPr>
                <w:rFonts w:hint="eastAsia" w:ascii="等线" w:cs="等线"/>
                <w:sz w:val="21"/>
                <w:szCs w:val="21"/>
              </w:rPr>
              <w:t>支持资产信息条件查询；</w:t>
            </w:r>
          </w:p>
          <w:p>
            <w:pPr>
              <w:rPr>
                <w:rFonts w:ascii="等线" w:cs="等线"/>
                <w:sz w:val="21"/>
                <w:szCs w:val="21"/>
              </w:rPr>
            </w:pPr>
            <w:r>
              <w:rPr>
                <w:rFonts w:hint="eastAsia"/>
                <w:sz w:val="21"/>
                <w:szCs w:val="21"/>
              </w:rPr>
              <w:t>3、在原有功能上进行升级，实现资产拆分合并功能，</w:t>
            </w:r>
            <w:r>
              <w:rPr>
                <w:rFonts w:hint="eastAsia" w:ascii="等线" w:cs="等线"/>
                <w:sz w:val="21"/>
                <w:szCs w:val="21"/>
              </w:rPr>
              <w:t>可以将一个资产根据需要拆解成多个子资产，也可以反过来将多个资产进行合并。保留资产拆分与合并前的资产信息，增加资产之间的关联性；</w:t>
            </w:r>
          </w:p>
          <w:p>
            <w:pPr>
              <w:rPr>
                <w:rFonts w:ascii="等线" w:cs="等线"/>
                <w:sz w:val="21"/>
                <w:szCs w:val="21"/>
              </w:rPr>
            </w:pPr>
            <w:r>
              <w:rPr>
                <w:rFonts w:hint="eastAsia"/>
                <w:sz w:val="21"/>
                <w:szCs w:val="21"/>
              </w:rPr>
              <w:t>4、资产信息中增加图片、短视频，对应资产坐标可在GIS地图上标记并显示；</w:t>
            </w:r>
          </w:p>
          <w:p>
            <w:pPr>
              <w:rPr>
                <w:rFonts w:ascii="等线" w:cs="等线"/>
                <w:sz w:val="21"/>
                <w:szCs w:val="21"/>
              </w:rPr>
            </w:pPr>
            <w:r>
              <w:rPr>
                <w:rFonts w:hint="eastAsia" w:ascii="宋体" w:hAnsi="宋体" w:cs="宋体"/>
                <w:sz w:val="21"/>
                <w:szCs w:val="21"/>
              </w:rPr>
              <w:t>▲5、</w:t>
            </w:r>
            <w:r>
              <w:rPr>
                <w:rFonts w:hint="eastAsia"/>
                <w:sz w:val="21"/>
                <w:szCs w:val="21"/>
              </w:rPr>
              <w:t>软件平台系统底层开发框架性能数据搜索性能要求：支持全文检索，结构化检索，数据分析。（中标</w:t>
            </w:r>
            <w:r>
              <w:rPr>
                <w:sz w:val="21"/>
                <w:szCs w:val="21"/>
              </w:rPr>
              <w:t>供应商于中标后</w:t>
            </w:r>
            <w:r>
              <w:rPr>
                <w:rFonts w:hint="eastAsia"/>
                <w:sz w:val="21"/>
                <w:szCs w:val="21"/>
              </w:rPr>
              <w:t>能提供框架应用截图佐证和由具有检验检测机构资质的第三方机构出具的有效检验检测报告复印件佐证，检测报告上须体现“CMA”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jc w:val="center"/>
              <w:rPr>
                <w:sz w:val="21"/>
                <w:szCs w:val="21"/>
              </w:rPr>
            </w:pPr>
            <w:r>
              <w:rPr>
                <w:rFonts w:hint="eastAsia"/>
                <w:sz w:val="21"/>
                <w:szCs w:val="21"/>
              </w:rPr>
              <w:t>6</w:t>
            </w:r>
          </w:p>
        </w:tc>
        <w:tc>
          <w:tcPr>
            <w:tcW w:w="1656" w:type="dxa"/>
          </w:tcPr>
          <w:p>
            <w:pPr>
              <w:rPr>
                <w:sz w:val="21"/>
                <w:szCs w:val="21"/>
              </w:rPr>
            </w:pPr>
            <w:r>
              <w:rPr>
                <w:rFonts w:hint="eastAsia"/>
                <w:sz w:val="21"/>
                <w:szCs w:val="21"/>
              </w:rPr>
              <w:t>合同管理模块升级</w:t>
            </w:r>
          </w:p>
        </w:tc>
        <w:tc>
          <w:tcPr>
            <w:tcW w:w="5944" w:type="dxa"/>
          </w:tcPr>
          <w:p>
            <w:pPr>
              <w:numPr>
                <w:ilvl w:val="0"/>
                <w:numId w:val="5"/>
              </w:numPr>
              <w:rPr>
                <w:rFonts w:ascii="等线" w:cs="等线"/>
                <w:sz w:val="21"/>
                <w:szCs w:val="21"/>
              </w:rPr>
            </w:pPr>
            <w:r>
              <w:rPr>
                <w:rFonts w:hint="eastAsia"/>
                <w:sz w:val="21"/>
                <w:szCs w:val="21"/>
              </w:rPr>
              <w:t>在原有功能上进行升级，</w:t>
            </w:r>
            <w:r>
              <w:rPr>
                <w:rFonts w:hint="eastAsia" w:ascii="等线" w:cs="等线"/>
                <w:sz w:val="21"/>
                <w:szCs w:val="21"/>
              </w:rPr>
              <w:t>增加合同执行状态，合同逾期、合同提前解除处理等合同信息；</w:t>
            </w:r>
          </w:p>
          <w:p>
            <w:pPr>
              <w:numPr>
                <w:ilvl w:val="0"/>
                <w:numId w:val="5"/>
              </w:numPr>
              <w:rPr>
                <w:rFonts w:ascii="等线" w:cs="等线"/>
                <w:sz w:val="21"/>
                <w:szCs w:val="21"/>
              </w:rPr>
            </w:pPr>
            <w:r>
              <w:rPr>
                <w:rFonts w:hint="eastAsia" w:ascii="等线" w:cs="等线"/>
                <w:sz w:val="21"/>
                <w:szCs w:val="21"/>
              </w:rPr>
              <w:t>增加合同月度账单功能；</w:t>
            </w:r>
          </w:p>
          <w:p>
            <w:pPr>
              <w:numPr>
                <w:ilvl w:val="0"/>
                <w:numId w:val="5"/>
              </w:numPr>
              <w:rPr>
                <w:rFonts w:ascii="等线" w:cs="等线"/>
                <w:sz w:val="21"/>
                <w:szCs w:val="21"/>
              </w:rPr>
            </w:pPr>
            <w:r>
              <w:rPr>
                <w:rFonts w:hint="eastAsia" w:ascii="等线" w:cs="等线"/>
                <w:sz w:val="21"/>
                <w:szCs w:val="21"/>
              </w:rPr>
              <w:t>增加租金规则配置，在合同录入时同步生成合同期限内的月度账单，减少每月添加账单的人力资源浪费。</w:t>
            </w:r>
          </w:p>
          <w:p>
            <w:pPr>
              <w:numPr>
                <w:ilvl w:val="0"/>
                <w:numId w:val="5"/>
              </w:numPr>
              <w:rPr>
                <w:rFonts w:ascii="等线" w:cs="等线"/>
                <w:sz w:val="21"/>
                <w:szCs w:val="21"/>
              </w:rPr>
            </w:pPr>
            <w:r>
              <w:rPr>
                <w:rFonts w:hint="eastAsia" w:ascii="等线" w:cs="等线"/>
                <w:sz w:val="21"/>
                <w:szCs w:val="21"/>
              </w:rPr>
              <w:t>增加合同到期提醒功能，系统会自动比对出快到期的合同；</w:t>
            </w:r>
          </w:p>
          <w:p>
            <w:pPr>
              <w:numPr>
                <w:ilvl w:val="0"/>
                <w:numId w:val="5"/>
              </w:numPr>
              <w:rPr>
                <w:rFonts w:ascii="等线" w:cs="等线"/>
                <w:sz w:val="21"/>
                <w:szCs w:val="21"/>
              </w:rPr>
            </w:pPr>
            <w:r>
              <w:rPr>
                <w:rFonts w:hint="eastAsia" w:ascii="等线" w:cs="等线"/>
                <w:sz w:val="21"/>
                <w:szCs w:val="21"/>
              </w:rPr>
              <w:t>增加催缴信息短信发送功能，可提醒</w:t>
            </w:r>
            <w:r>
              <w:rPr>
                <w:rFonts w:hint="eastAsia"/>
                <w:sz w:val="21"/>
                <w:szCs w:val="21"/>
              </w:rPr>
              <w:t>租户及时缴纳租金。</w:t>
            </w:r>
          </w:p>
          <w:p>
            <w:pPr>
              <w:numPr>
                <w:numId w:val="0"/>
              </w:numPr>
              <w:tabs>
                <w:tab w:val="left" w:pos="0"/>
              </w:tabs>
              <w:ind w:leftChars="0"/>
              <w:rPr>
                <w:rFonts w:ascii="等线" w:cs="等线"/>
                <w:sz w:val="21"/>
                <w:szCs w:val="21"/>
              </w:rPr>
            </w:pPr>
            <w:r>
              <w:rPr>
                <w:rFonts w:hint="eastAsia" w:ascii="宋体" w:hAnsi="宋体" w:cs="宋体"/>
                <w:sz w:val="21"/>
                <w:szCs w:val="21"/>
              </w:rPr>
              <w:t>▲</w:t>
            </w:r>
            <w:r>
              <w:rPr>
                <w:rFonts w:hint="eastAsia" w:ascii="宋体" w:hAnsi="宋体" w:cs="宋体"/>
                <w:sz w:val="21"/>
                <w:szCs w:val="21"/>
                <w:lang w:eastAsia="zh-CN"/>
              </w:rPr>
              <w:t>6.</w:t>
            </w:r>
            <w:bookmarkStart w:id="0" w:name="_GoBack"/>
            <w:bookmarkEnd w:id="0"/>
            <w:r>
              <w:rPr>
                <w:rFonts w:hint="eastAsia"/>
                <w:sz w:val="21"/>
                <w:szCs w:val="21"/>
              </w:rPr>
              <w:t>软件平台系统底层开发框架数据安全要求：使用国产化加密算法（SM3）对重要数据进行加密；（中标</w:t>
            </w:r>
            <w:r>
              <w:rPr>
                <w:sz w:val="21"/>
                <w:szCs w:val="21"/>
              </w:rPr>
              <w:t>供应商于中标后</w:t>
            </w:r>
            <w:r>
              <w:rPr>
                <w:rFonts w:hint="eastAsia"/>
                <w:sz w:val="21"/>
                <w:szCs w:val="21"/>
              </w:rPr>
              <w:t>能提供框架应用截图佐证和由具有检验检测机构资质的第三方机构出具的有效检验检测报告复印件佐证，检测报告上须体现“CMA”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jc w:val="center"/>
              <w:rPr>
                <w:sz w:val="21"/>
                <w:szCs w:val="21"/>
              </w:rPr>
            </w:pPr>
            <w:r>
              <w:rPr>
                <w:rFonts w:hint="eastAsia"/>
                <w:sz w:val="21"/>
                <w:szCs w:val="21"/>
              </w:rPr>
              <w:t>7</w:t>
            </w:r>
          </w:p>
        </w:tc>
        <w:tc>
          <w:tcPr>
            <w:tcW w:w="1656" w:type="dxa"/>
          </w:tcPr>
          <w:p>
            <w:pPr>
              <w:rPr>
                <w:sz w:val="21"/>
                <w:szCs w:val="21"/>
              </w:rPr>
            </w:pPr>
            <w:r>
              <w:rPr>
                <w:rFonts w:hint="eastAsia"/>
                <w:sz w:val="21"/>
                <w:szCs w:val="21"/>
              </w:rPr>
              <w:t>账单管理模块</w:t>
            </w:r>
          </w:p>
        </w:tc>
        <w:tc>
          <w:tcPr>
            <w:tcW w:w="5944" w:type="dxa"/>
          </w:tcPr>
          <w:p>
            <w:pPr>
              <w:numPr>
                <w:ilvl w:val="0"/>
                <w:numId w:val="6"/>
              </w:numPr>
              <w:rPr>
                <w:sz w:val="21"/>
                <w:szCs w:val="21"/>
              </w:rPr>
            </w:pPr>
            <w:r>
              <w:rPr>
                <w:rFonts w:hint="eastAsia"/>
                <w:sz w:val="21"/>
                <w:szCs w:val="21"/>
              </w:rPr>
              <w:t>增加月度账单管理模块，提前按合同设置生成签订日子内的每月应缴账单；</w:t>
            </w:r>
          </w:p>
          <w:p>
            <w:pPr>
              <w:numPr>
                <w:ilvl w:val="0"/>
                <w:numId w:val="6"/>
              </w:numPr>
              <w:rPr>
                <w:sz w:val="21"/>
                <w:szCs w:val="21"/>
              </w:rPr>
            </w:pPr>
            <w:r>
              <w:rPr>
                <w:rFonts w:hint="eastAsia"/>
                <w:sz w:val="21"/>
                <w:szCs w:val="21"/>
              </w:rPr>
              <w:t>缴费记录管理，包括缴费记录录入、修改、删除、分页查询、财务审核等。</w:t>
            </w:r>
          </w:p>
          <w:p>
            <w:pPr>
              <w:numPr>
                <w:ilvl w:val="0"/>
                <w:numId w:val="6"/>
              </w:numPr>
              <w:rPr>
                <w:sz w:val="21"/>
                <w:szCs w:val="21"/>
              </w:rPr>
            </w:pPr>
            <w:r>
              <w:rPr>
                <w:rFonts w:hint="eastAsia"/>
                <w:sz w:val="21"/>
                <w:szCs w:val="21"/>
              </w:rPr>
              <w:t>对提前支付超过本月金额的账单设为预缴状态，如存在本月之前的账单未全部缴纳则优先缴纳欠缴的账单，对本月之前的账单缴纳的金额标记为补缴金额。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jc w:val="center"/>
              <w:rPr>
                <w:sz w:val="21"/>
                <w:szCs w:val="21"/>
              </w:rPr>
            </w:pPr>
            <w:r>
              <w:rPr>
                <w:rFonts w:hint="eastAsia"/>
                <w:sz w:val="21"/>
                <w:szCs w:val="21"/>
              </w:rPr>
              <w:t>8</w:t>
            </w:r>
          </w:p>
        </w:tc>
        <w:tc>
          <w:tcPr>
            <w:tcW w:w="1656" w:type="dxa"/>
          </w:tcPr>
          <w:p>
            <w:pPr>
              <w:rPr>
                <w:sz w:val="21"/>
                <w:szCs w:val="21"/>
              </w:rPr>
            </w:pPr>
            <w:r>
              <w:rPr>
                <w:rFonts w:hint="eastAsia"/>
                <w:sz w:val="21"/>
                <w:szCs w:val="21"/>
              </w:rPr>
              <w:t>统计报表模块升级</w:t>
            </w:r>
          </w:p>
        </w:tc>
        <w:tc>
          <w:tcPr>
            <w:tcW w:w="5944" w:type="dxa"/>
          </w:tcPr>
          <w:p>
            <w:pPr>
              <w:numPr>
                <w:ilvl w:val="0"/>
                <w:numId w:val="7"/>
              </w:numPr>
              <w:rPr>
                <w:sz w:val="21"/>
                <w:szCs w:val="21"/>
              </w:rPr>
            </w:pPr>
            <w:r>
              <w:rPr>
                <w:rFonts w:hint="eastAsia"/>
                <w:sz w:val="21"/>
                <w:szCs w:val="21"/>
              </w:rPr>
              <w:t>对原有统计模块进行优化，增加单个资产每个月的实缴、欠缴、预缴、补缴金额；</w:t>
            </w:r>
          </w:p>
          <w:p>
            <w:pPr>
              <w:numPr>
                <w:ilvl w:val="0"/>
                <w:numId w:val="7"/>
              </w:numPr>
              <w:rPr>
                <w:sz w:val="21"/>
                <w:szCs w:val="21"/>
              </w:rPr>
            </w:pPr>
            <w:r>
              <w:rPr>
                <w:rFonts w:hint="eastAsia"/>
                <w:sz w:val="21"/>
                <w:szCs w:val="21"/>
              </w:rPr>
              <w:t>增加工作台统计，包括统计资产、合同运行数量。统计租金最近6个月收缴情况。统计展示欠缴合同，统计展示即将到期的合同（距离到期3个月以内）</w:t>
            </w:r>
          </w:p>
          <w:p>
            <w:pPr>
              <w:numPr>
                <w:ilvl w:val="0"/>
                <w:numId w:val="4"/>
              </w:numPr>
              <w:rPr>
                <w:sz w:val="21"/>
                <w:szCs w:val="21"/>
              </w:rPr>
            </w:pPr>
            <w:r>
              <w:rPr>
                <w:rFonts w:hint="eastAsia"/>
                <w:sz w:val="21"/>
                <w:szCs w:val="21"/>
              </w:rPr>
              <w:t>综合统计，包括资产分布统计。资产收缴情况统计，可以根据需要选择任意区间（可跨年）统计区间内各资产租金收缴情况。统计年度每月租金总计收缴情况，年度租金收缴分类占比，每月租金总计详情</w:t>
            </w:r>
          </w:p>
          <w:p>
            <w:pPr>
              <w:numPr>
                <w:ilvl w:val="0"/>
                <w:numId w:val="4"/>
              </w:numPr>
              <w:rPr>
                <w:sz w:val="21"/>
                <w:szCs w:val="21"/>
              </w:rPr>
            </w:pPr>
            <w:r>
              <w:rPr>
                <w:rFonts w:hint="eastAsia"/>
                <w:sz w:val="21"/>
                <w:szCs w:val="21"/>
              </w:rPr>
              <w:t>运用可视化信息综合管理平台，生成大数据看板，让资产分布及及资产详情一目了然。</w:t>
            </w:r>
            <w:r>
              <w:rPr>
                <w:rFonts w:hint="eastAsia" w:ascii="等线" w:cs="等线"/>
                <w:b w:val="0"/>
                <w:bCs w:val="0"/>
                <w:sz w:val="21"/>
                <w:szCs w:val="21"/>
              </w:rPr>
              <w:t>软件厂商自主取得新技术组件相关软件著作权，并</w:t>
            </w:r>
            <w:r>
              <w:rPr>
                <w:b w:val="0"/>
                <w:bCs w:val="0"/>
                <w:sz w:val="21"/>
                <w:szCs w:val="21"/>
              </w:rPr>
              <w:t>于中标后</w:t>
            </w:r>
            <w:r>
              <w:rPr>
                <w:rFonts w:hint="eastAsia" w:ascii="等线" w:cs="等线"/>
                <w:b w:val="0"/>
                <w:bCs w:val="0"/>
                <w:sz w:val="21"/>
                <w:szCs w:val="21"/>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jc w:val="center"/>
              <w:rPr>
                <w:sz w:val="21"/>
                <w:szCs w:val="21"/>
              </w:rPr>
            </w:pPr>
            <w:r>
              <w:rPr>
                <w:rFonts w:hint="eastAsia"/>
                <w:sz w:val="21"/>
                <w:szCs w:val="21"/>
              </w:rPr>
              <w:t>9</w:t>
            </w:r>
          </w:p>
        </w:tc>
        <w:tc>
          <w:tcPr>
            <w:tcW w:w="1656" w:type="dxa"/>
          </w:tcPr>
          <w:p>
            <w:pPr>
              <w:rPr>
                <w:sz w:val="21"/>
                <w:szCs w:val="21"/>
              </w:rPr>
            </w:pPr>
            <w:r>
              <w:rPr>
                <w:rFonts w:hint="eastAsia"/>
                <w:sz w:val="21"/>
                <w:szCs w:val="21"/>
              </w:rPr>
              <w:t>微平台（微信公众号）</w:t>
            </w:r>
          </w:p>
        </w:tc>
        <w:tc>
          <w:tcPr>
            <w:tcW w:w="5944" w:type="dxa"/>
          </w:tcPr>
          <w:p>
            <w:pPr>
              <w:rPr>
                <w:sz w:val="21"/>
                <w:szCs w:val="21"/>
              </w:rPr>
            </w:pPr>
            <w:r>
              <w:rPr>
                <w:rFonts w:hint="eastAsia"/>
                <w:sz w:val="21"/>
                <w:szCs w:val="21"/>
              </w:rPr>
              <w:t>1、微信用户身份认证授权绑定；</w:t>
            </w:r>
          </w:p>
          <w:p>
            <w:pPr>
              <w:rPr>
                <w:sz w:val="21"/>
                <w:szCs w:val="21"/>
              </w:rPr>
            </w:pPr>
            <w:r>
              <w:rPr>
                <w:rFonts w:hint="eastAsia"/>
                <w:sz w:val="21"/>
                <w:szCs w:val="21"/>
              </w:rPr>
              <w:t>2、个人中心，修改用户个人信息，绑定用户手机号码；</w:t>
            </w:r>
          </w:p>
          <w:p>
            <w:pPr>
              <w:rPr>
                <w:sz w:val="21"/>
                <w:szCs w:val="21"/>
              </w:rPr>
            </w:pPr>
            <w:r>
              <w:rPr>
                <w:rFonts w:hint="eastAsia"/>
                <w:sz w:val="21"/>
                <w:szCs w:val="21"/>
              </w:rPr>
              <w:t>3、合同查询，查询绑定合同信息，查看合同信息详情；</w:t>
            </w:r>
          </w:p>
          <w:p>
            <w:pPr>
              <w:rPr>
                <w:sz w:val="21"/>
                <w:szCs w:val="21"/>
              </w:rPr>
            </w:pPr>
            <w:r>
              <w:rPr>
                <w:rFonts w:hint="eastAsia"/>
                <w:sz w:val="21"/>
                <w:szCs w:val="21"/>
              </w:rPr>
              <w:t>4、通知公告，可查看最新公告信息；</w:t>
            </w:r>
          </w:p>
          <w:p>
            <w:pPr>
              <w:rPr>
                <w:sz w:val="21"/>
                <w:szCs w:val="21"/>
              </w:rPr>
            </w:pPr>
            <w:r>
              <w:rPr>
                <w:rFonts w:hint="eastAsia"/>
                <w:sz w:val="21"/>
                <w:szCs w:val="21"/>
              </w:rPr>
              <w:t>5、租金缴费记录查询，可查询合同的租金缴费记录，可以看到历史租金缴费情况；</w:t>
            </w:r>
          </w:p>
          <w:p>
            <w:pPr>
              <w:rPr>
                <w:sz w:val="21"/>
                <w:szCs w:val="21"/>
              </w:rPr>
            </w:pPr>
            <w:r>
              <w:rPr>
                <w:rFonts w:hint="eastAsia"/>
                <w:sz w:val="21"/>
                <w:szCs w:val="21"/>
              </w:rPr>
              <w:t>6、</w:t>
            </w:r>
            <w:r>
              <w:rPr>
                <w:sz w:val="21"/>
                <w:szCs w:val="21"/>
              </w:rPr>
              <w:t>合同租金缴纳</w:t>
            </w:r>
            <w:r>
              <w:rPr>
                <w:rFonts w:hint="eastAsia"/>
                <w:sz w:val="21"/>
                <w:szCs w:val="21"/>
              </w:rPr>
              <w:t>，使用微信支付缴纳合同月租金，可选择不同的缴纳周期，按月、按季度、按年等方式</w:t>
            </w:r>
          </w:p>
          <w:p>
            <w:pPr>
              <w:rPr>
                <w:b w:val="0"/>
                <w:bCs w:val="0"/>
                <w:sz w:val="21"/>
                <w:szCs w:val="21"/>
              </w:rPr>
            </w:pPr>
            <w:r>
              <w:rPr>
                <w:rFonts w:hint="eastAsia"/>
                <w:sz w:val="21"/>
                <w:szCs w:val="21"/>
              </w:rPr>
              <w:t>7、应用内容发布系统，将待租资产信息发布到微平台中，包括图片或视频、基本信息、价格、联系方式等。</w:t>
            </w:r>
            <w:r>
              <w:rPr>
                <w:rFonts w:hint="eastAsia" w:ascii="等线" w:cs="等线"/>
                <w:b w:val="0"/>
                <w:bCs w:val="0"/>
                <w:sz w:val="21"/>
                <w:szCs w:val="21"/>
              </w:rPr>
              <w:t>软件厂商自主取得新技术组件相关软件著作权，并</w:t>
            </w:r>
            <w:r>
              <w:rPr>
                <w:b w:val="0"/>
                <w:bCs w:val="0"/>
                <w:sz w:val="21"/>
                <w:szCs w:val="21"/>
              </w:rPr>
              <w:t>于中标后</w:t>
            </w:r>
            <w:r>
              <w:rPr>
                <w:rFonts w:hint="eastAsia" w:ascii="等线" w:cs="等线"/>
                <w:b w:val="0"/>
                <w:bCs w:val="0"/>
                <w:sz w:val="21"/>
                <w:szCs w:val="21"/>
              </w:rPr>
              <w:t>提供复印件；</w:t>
            </w:r>
          </w:p>
          <w:p>
            <w:pPr>
              <w:rPr>
                <w:sz w:val="21"/>
                <w:szCs w:val="21"/>
              </w:rPr>
            </w:pPr>
            <w:r>
              <w:rPr>
                <w:rFonts w:hint="eastAsia"/>
                <w:sz w:val="21"/>
                <w:szCs w:val="21"/>
              </w:rPr>
              <w:t>8、领导驾驶舱，绑定领导微信并授权后，领导可直接通过移动端，查看详细的数据统计与分析情况。</w:t>
            </w:r>
          </w:p>
        </w:tc>
      </w:tr>
    </w:tbl>
    <w:p>
      <w:pPr>
        <w:jc w:val="left"/>
        <w:rPr>
          <w:b/>
          <w:sz w:val="28"/>
        </w:rPr>
      </w:pPr>
    </w:p>
    <w:p>
      <w:pPr>
        <w:jc w:val="left"/>
        <w:rPr>
          <w:sz w:val="28"/>
        </w:rPr>
      </w:pPr>
      <w:r>
        <w:rPr>
          <w:rFonts w:hint="eastAsia"/>
          <w:b/>
          <w:sz w:val="28"/>
        </w:rPr>
        <w:t>2：云服务</w:t>
      </w:r>
      <w:r>
        <w:rPr>
          <w:b/>
          <w:sz w:val="28"/>
        </w:rPr>
        <w:t>技术参数</w:t>
      </w:r>
    </w:p>
    <w:tbl>
      <w:tblPr>
        <w:tblStyle w:val="8"/>
        <w:tblW w:w="82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
        <w:gridCol w:w="1476"/>
        <w:gridCol w:w="1653"/>
        <w:gridCol w:w="1688"/>
        <w:gridCol w:w="848"/>
        <w:gridCol w:w="848"/>
        <w:gridCol w:w="1266"/>
      </w:tblGrid>
      <w:tr>
        <w:tblPrEx>
          <w:tblLayout w:type="fixed"/>
          <w:tblCellMar>
            <w:top w:w="0" w:type="dxa"/>
            <w:left w:w="108" w:type="dxa"/>
            <w:bottom w:w="0" w:type="dxa"/>
            <w:right w:w="108" w:type="dxa"/>
          </w:tblCellMar>
        </w:tblPrEx>
        <w:trPr>
          <w:trHeight w:val="265" w:hRule="atLeast"/>
        </w:trPr>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4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服务名称</w:t>
            </w:r>
          </w:p>
        </w:tc>
        <w:tc>
          <w:tcPr>
            <w:tcW w:w="630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w:t>
            </w:r>
          </w:p>
        </w:tc>
      </w:tr>
      <w:tr>
        <w:tblPrEx>
          <w:tblLayout w:type="fixed"/>
          <w:tblCellMar>
            <w:top w:w="0" w:type="dxa"/>
            <w:left w:w="108" w:type="dxa"/>
            <w:bottom w:w="0" w:type="dxa"/>
            <w:right w:w="108" w:type="dxa"/>
          </w:tblCellMar>
        </w:tblPrEx>
        <w:trPr>
          <w:trHeight w:val="355"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p>
        </w:tc>
        <w:tc>
          <w:tcPr>
            <w:tcW w:w="1476" w:type="dxa"/>
            <w:vMerge w:val="continue"/>
            <w:tcBorders>
              <w:top w:val="single" w:color="auto" w:sz="4" w:space="0"/>
              <w:left w:val="single" w:color="auto" w:sz="4" w:space="0"/>
              <w:bottom w:val="single" w:color="auto" w:sz="4" w:space="0"/>
              <w:right w:val="single" w:color="auto" w:sz="4" w:space="0"/>
            </w:tcBorders>
            <w:vAlign w:val="center"/>
          </w:tcPr>
          <w:p>
            <w:pPr/>
          </w:p>
        </w:tc>
        <w:tc>
          <w:tcPr>
            <w:tcW w:w="165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color w:val="000000"/>
                <w:kern w:val="0"/>
                <w:szCs w:val="21"/>
              </w:rPr>
            </w:pPr>
            <w:r>
              <w:rPr>
                <w:rFonts w:cs="宋体"/>
                <w:b/>
                <w:bCs/>
                <w:color w:val="000000"/>
                <w:kern w:val="0"/>
                <w:szCs w:val="21"/>
              </w:rPr>
              <w:t>CPU</w:t>
            </w:r>
            <w:r>
              <w:rPr>
                <w:rFonts w:hint="eastAsia" w:ascii="宋体" w:hAnsi="宋体" w:cs="宋体"/>
                <w:b/>
                <w:bCs/>
                <w:color w:val="000000"/>
                <w:kern w:val="0"/>
                <w:szCs w:val="21"/>
              </w:rPr>
              <w:t>（核）</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内存（GB）</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系统盘（GB）</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数据盘（GB）</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操作系统</w:t>
            </w:r>
          </w:p>
        </w:tc>
      </w:tr>
      <w:tr>
        <w:tblPrEx>
          <w:tblLayout w:type="fixed"/>
          <w:tblCellMar>
            <w:top w:w="0" w:type="dxa"/>
            <w:left w:w="108" w:type="dxa"/>
            <w:bottom w:w="0" w:type="dxa"/>
            <w:right w:w="108" w:type="dxa"/>
          </w:tblCellMar>
        </w:tblPrEx>
        <w:trPr>
          <w:trHeight w:val="53" w:hRule="atLeast"/>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应用服务器</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rPr>
              <w:t>0</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CentOS 7.3</w:t>
            </w:r>
          </w:p>
        </w:tc>
      </w:tr>
      <w:tr>
        <w:tblPrEx>
          <w:tblLayout w:type="fixed"/>
          <w:tblCellMar>
            <w:top w:w="0" w:type="dxa"/>
            <w:left w:w="108" w:type="dxa"/>
            <w:bottom w:w="0" w:type="dxa"/>
            <w:right w:w="108" w:type="dxa"/>
          </w:tblCellMar>
        </w:tblPrEx>
        <w:trPr>
          <w:trHeight w:val="53" w:hRule="atLeast"/>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SSD数据盘</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00</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Layout w:type="fixed"/>
          <w:tblCellMar>
            <w:top w:w="0" w:type="dxa"/>
            <w:left w:w="108" w:type="dxa"/>
            <w:bottom w:w="0" w:type="dxa"/>
            <w:right w:w="108" w:type="dxa"/>
          </w:tblCellMar>
        </w:tblPrEx>
        <w:trPr>
          <w:trHeight w:val="53" w:hRule="atLeast"/>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数据备份服务</w:t>
            </w:r>
          </w:p>
        </w:tc>
        <w:tc>
          <w:tcPr>
            <w:tcW w:w="418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每日备份，保留7天,第1天全量备份，剩余6天增量备份</w:t>
            </w: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00</w:t>
            </w:r>
            <w:r>
              <w:rPr>
                <w:rFonts w:hint="eastAsia" w:ascii="宋体" w:hAnsi="宋体" w:cs="宋体"/>
                <w:color w:val="000000"/>
                <w:kern w:val="0"/>
                <w:szCs w:val="21"/>
              </w:rPr>
              <w:t>0</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Layout w:type="fixed"/>
          <w:tblCellMar>
            <w:top w:w="0" w:type="dxa"/>
            <w:left w:w="108" w:type="dxa"/>
            <w:bottom w:w="0" w:type="dxa"/>
            <w:right w:w="108" w:type="dxa"/>
          </w:tblCellMar>
        </w:tblPrEx>
        <w:trPr>
          <w:trHeight w:val="270" w:hRule="atLeast"/>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数据库实例</w:t>
            </w:r>
          </w:p>
        </w:tc>
        <w:tc>
          <w:tcPr>
            <w:tcW w:w="503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提供主备实例，最大连接数300</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MySQL 5.7</w:t>
            </w:r>
          </w:p>
        </w:tc>
      </w:tr>
      <w:tr>
        <w:tblPrEx>
          <w:tblLayout w:type="fixed"/>
          <w:tblCellMar>
            <w:top w:w="0" w:type="dxa"/>
            <w:left w:w="108" w:type="dxa"/>
            <w:bottom w:w="0" w:type="dxa"/>
            <w:right w:w="108" w:type="dxa"/>
          </w:tblCellMar>
        </w:tblPrEx>
        <w:trPr>
          <w:trHeight w:val="270" w:hRule="atLeast"/>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VPC组网</w:t>
            </w:r>
          </w:p>
        </w:tc>
        <w:tc>
          <w:tcPr>
            <w:tcW w:w="630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一个用户一个VPC</w:t>
            </w:r>
          </w:p>
        </w:tc>
      </w:tr>
      <w:tr>
        <w:tblPrEx>
          <w:tblLayout w:type="fixed"/>
          <w:tblCellMar>
            <w:top w:w="0" w:type="dxa"/>
            <w:left w:w="108" w:type="dxa"/>
            <w:bottom w:w="0" w:type="dxa"/>
            <w:right w:w="108" w:type="dxa"/>
          </w:tblCellMar>
        </w:tblPrEx>
        <w:trPr>
          <w:trHeight w:val="270" w:hRule="atLeast"/>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互联网固定IP</w:t>
            </w:r>
          </w:p>
        </w:tc>
        <w:tc>
          <w:tcPr>
            <w:tcW w:w="630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用于WEB应用服务器互联网访问</w:t>
            </w:r>
          </w:p>
        </w:tc>
      </w:tr>
      <w:tr>
        <w:tblPrEx>
          <w:tblLayout w:type="fixed"/>
          <w:tblCellMar>
            <w:top w:w="0" w:type="dxa"/>
            <w:left w:w="108" w:type="dxa"/>
            <w:bottom w:w="0" w:type="dxa"/>
            <w:right w:w="108" w:type="dxa"/>
          </w:tblCellMar>
        </w:tblPrEx>
        <w:trPr>
          <w:trHeight w:val="570" w:hRule="atLeast"/>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短信服务</w:t>
            </w:r>
          </w:p>
        </w:tc>
        <w:tc>
          <w:tcPr>
            <w:tcW w:w="6303"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w:t>
            </w:r>
            <w:r>
              <w:rPr>
                <w:rFonts w:ascii="宋体" w:hAnsi="宋体" w:cs="宋体"/>
                <w:color w:val="000000"/>
                <w:kern w:val="0"/>
                <w:szCs w:val="21"/>
              </w:rPr>
              <w:t>3</w:t>
            </w:r>
            <w:r>
              <w:rPr>
                <w:rFonts w:hint="eastAsia" w:ascii="宋体" w:hAnsi="宋体" w:cs="宋体"/>
                <w:color w:val="000000"/>
                <w:kern w:val="0"/>
                <w:szCs w:val="21"/>
              </w:rPr>
              <w:t>000条（预估）,实际费用按实际使用量收取。</w:t>
            </w:r>
          </w:p>
        </w:tc>
      </w:tr>
    </w:tbl>
    <w:p>
      <w:pP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74415"/>
    <w:multiLevelType w:val="singleLevel"/>
    <w:tmpl w:val="91A74415"/>
    <w:lvl w:ilvl="0" w:tentative="0">
      <w:start w:val="1"/>
      <w:numFmt w:val="decimal"/>
      <w:suff w:val="nothing"/>
      <w:lvlText w:val="%1、"/>
      <w:lvlJc w:val="left"/>
      <w:pPr>
        <w:tabs>
          <w:tab w:val="left" w:pos="0"/>
        </w:tabs>
        <w:ind w:left="0" w:firstLine="0"/>
      </w:pPr>
    </w:lvl>
  </w:abstractNum>
  <w:abstractNum w:abstractNumId="1">
    <w:nsid w:val="B4AA8313"/>
    <w:multiLevelType w:val="singleLevel"/>
    <w:tmpl w:val="B4AA8313"/>
    <w:lvl w:ilvl="0" w:tentative="0">
      <w:start w:val="1"/>
      <w:numFmt w:val="decimal"/>
      <w:suff w:val="nothing"/>
      <w:lvlText w:val="%1、"/>
      <w:lvlJc w:val="left"/>
      <w:pPr>
        <w:tabs>
          <w:tab w:val="left" w:pos="0"/>
        </w:tabs>
        <w:ind w:left="0" w:firstLine="0"/>
      </w:pPr>
    </w:lvl>
  </w:abstractNum>
  <w:abstractNum w:abstractNumId="2">
    <w:nsid w:val="E9A9EFA9"/>
    <w:multiLevelType w:val="singleLevel"/>
    <w:tmpl w:val="E9A9EFA9"/>
    <w:lvl w:ilvl="0" w:tentative="0">
      <w:start w:val="1"/>
      <w:numFmt w:val="decimal"/>
      <w:suff w:val="nothing"/>
      <w:lvlText w:val="%1、"/>
      <w:lvlJc w:val="left"/>
      <w:pPr>
        <w:tabs>
          <w:tab w:val="left" w:pos="0"/>
        </w:tabs>
        <w:ind w:left="0" w:firstLine="0"/>
      </w:pPr>
    </w:lvl>
  </w:abstractNum>
  <w:abstractNum w:abstractNumId="3">
    <w:nsid w:val="11DFFF2F"/>
    <w:multiLevelType w:val="singleLevel"/>
    <w:tmpl w:val="11DFFF2F"/>
    <w:lvl w:ilvl="0" w:tentative="0">
      <w:start w:val="1"/>
      <w:numFmt w:val="decimal"/>
      <w:suff w:val="nothing"/>
      <w:lvlText w:val="%1、"/>
      <w:lvlJc w:val="left"/>
      <w:pPr>
        <w:tabs>
          <w:tab w:val="left" w:pos="0"/>
        </w:tabs>
        <w:ind w:left="0" w:firstLine="0"/>
      </w:pPr>
    </w:lvl>
  </w:abstractNum>
  <w:abstractNum w:abstractNumId="4">
    <w:nsid w:val="13C41969"/>
    <w:multiLevelType w:val="singleLevel"/>
    <w:tmpl w:val="13C41969"/>
    <w:lvl w:ilvl="0" w:tentative="0">
      <w:start w:val="2"/>
      <w:numFmt w:val="decimal"/>
      <w:suff w:val="nothing"/>
      <w:lvlText w:val="%1、"/>
      <w:lvlJc w:val="left"/>
      <w:pPr>
        <w:tabs>
          <w:tab w:val="left" w:pos="0"/>
        </w:tabs>
        <w:ind w:left="0" w:firstLine="0"/>
      </w:pPr>
    </w:lvl>
  </w:abstractNum>
  <w:abstractNum w:abstractNumId="5">
    <w:nsid w:val="6BDF3A97"/>
    <w:multiLevelType w:val="singleLevel"/>
    <w:tmpl w:val="6BDF3A97"/>
    <w:lvl w:ilvl="0" w:tentative="0">
      <w:start w:val="1"/>
      <w:numFmt w:val="decimal"/>
      <w:suff w:val="nothing"/>
      <w:lvlText w:val="%1、"/>
      <w:lvlJc w:val="left"/>
      <w:pPr>
        <w:tabs>
          <w:tab w:val="left" w:pos="0"/>
        </w:tabs>
        <w:ind w:left="0" w:firstLine="0"/>
      </w:pPr>
    </w:lvl>
  </w:abstractNum>
  <w:abstractNum w:abstractNumId="6">
    <w:nsid w:val="7CDE292D"/>
    <w:multiLevelType w:val="singleLevel"/>
    <w:tmpl w:val="7CDE292D"/>
    <w:lvl w:ilvl="0" w:tentative="0">
      <w:start w:val="1"/>
      <w:numFmt w:val="decimal"/>
      <w:suff w:val="nothing"/>
      <w:lvlText w:val="%1、"/>
      <w:lvlJc w:val="left"/>
      <w:pPr>
        <w:tabs>
          <w:tab w:val="left" w:pos="0"/>
        </w:tabs>
        <w:ind w:left="0" w:firstLine="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16</Words>
  <Characters>16</Characters>
  <Lines>1</Lines>
  <Paragraphs>1</Paragraphs>
  <TotalTime>0</TotalTime>
  <ScaleCrop>false</ScaleCrop>
  <LinksUpToDate>false</LinksUpToDate>
  <CharactersWithSpaces>16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2022-07-18T15:07:00Z</dcterms:created>
  <dc:creator>li hong</dc:creator>
  <cp:lastModifiedBy>iPhone</cp:lastModifiedBy>
  <dcterms:modified xsi:type="dcterms:W3CDTF">2022-07-20T20:02:25Z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2052-11.26.1</vt:lpwstr>
  </property>
  <property fmtid="{D5CDD505-2E9C-101B-9397-08002B2CF9AE}" pid="3" name="ICV">
    <vt:lpwstr>264B075B0B68371DC4EED7622A99E7FD</vt:lpwstr>
  </property>
</Properties>
</file>